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F9D7" w14:textId="77777777" w:rsidR="00DE744D" w:rsidRDefault="00734327" w:rsidP="00E86DAA">
      <w:pPr>
        <w:jc w:val="both"/>
      </w:pPr>
    </w:p>
    <w:tbl>
      <w:tblPr>
        <w:tblW w:w="0" w:type="auto"/>
        <w:tblBorders>
          <w:top w:val="single" w:sz="4" w:space="0" w:color="auto"/>
          <w:bottom w:val="single" w:sz="4" w:space="0" w:color="auto"/>
        </w:tblBorders>
        <w:tblLook w:val="04A0" w:firstRow="1" w:lastRow="0" w:firstColumn="1" w:lastColumn="0" w:noHBand="0" w:noVBand="1"/>
      </w:tblPr>
      <w:tblGrid>
        <w:gridCol w:w="9016"/>
      </w:tblGrid>
      <w:tr w:rsidR="00BB6798" w:rsidRPr="009B5B2F" w14:paraId="17960A78" w14:textId="77777777" w:rsidTr="009B5B2F">
        <w:tc>
          <w:tcPr>
            <w:tcW w:w="9016" w:type="dxa"/>
            <w:tcBorders>
              <w:top w:val="single" w:sz="4" w:space="0" w:color="4472C4"/>
              <w:bottom w:val="single" w:sz="4" w:space="0" w:color="4472C4"/>
            </w:tcBorders>
            <w:shd w:val="clear" w:color="auto" w:fill="D9E2F3"/>
          </w:tcPr>
          <w:p w14:paraId="6B7581D9" w14:textId="77777777" w:rsidR="00131844" w:rsidRDefault="00DE38D2" w:rsidP="00E86DAA">
            <w:pPr>
              <w:jc w:val="center"/>
              <w:rPr>
                <w:rFonts w:ascii="Trebuchet MS" w:hAnsi="Trebuchet MS"/>
                <w:b/>
                <w:color w:val="209DFA"/>
                <w:sz w:val="28"/>
                <w:szCs w:val="28"/>
              </w:rPr>
            </w:pPr>
            <w:r>
              <w:rPr>
                <w:rFonts w:ascii="Trebuchet MS" w:hAnsi="Trebuchet MS"/>
                <w:b/>
                <w:color w:val="209DFA"/>
                <w:sz w:val="28"/>
              </w:rPr>
              <w:t xml:space="preserve">Οδηγία για την υποβολή αναφοράς στο πλαίσιο της Σύμβασης Κοινωνικού Διαλόγου για το κρυσταλλικό πυριτικού </w:t>
            </w:r>
          </w:p>
          <w:p w14:paraId="16034C62" w14:textId="77777777" w:rsidR="00BB6798" w:rsidRPr="009B5B2F" w:rsidRDefault="00DE38D2" w:rsidP="00E86DAA">
            <w:pPr>
              <w:jc w:val="center"/>
              <w:rPr>
                <w:rFonts w:ascii="Trebuchet MS" w:hAnsi="Trebuchet MS"/>
                <w:b/>
                <w:color w:val="209DFA"/>
                <w:sz w:val="28"/>
                <w:szCs w:val="28"/>
              </w:rPr>
            </w:pPr>
            <w:r>
              <w:rPr>
                <w:rFonts w:ascii="Trebuchet MS" w:hAnsi="Trebuchet MS"/>
                <w:b/>
                <w:color w:val="209DFA"/>
                <w:sz w:val="28"/>
              </w:rPr>
              <w:t>Επίπεδο εταιρείας και επίπεδο εγκατάστασης</w:t>
            </w:r>
          </w:p>
        </w:tc>
      </w:tr>
    </w:tbl>
    <w:p w14:paraId="721C6047" w14:textId="77777777" w:rsidR="00BB6798" w:rsidRDefault="00BB6798" w:rsidP="00E86DAA">
      <w:pPr>
        <w:jc w:val="both"/>
      </w:pPr>
    </w:p>
    <w:p w14:paraId="45A676F5" w14:textId="77777777" w:rsidR="00BB6798" w:rsidRPr="00BB6798" w:rsidRDefault="00DE38D2" w:rsidP="00E86DAA">
      <w:pPr>
        <w:pStyle w:val="ListParagraph"/>
        <w:numPr>
          <w:ilvl w:val="0"/>
          <w:numId w:val="1"/>
        </w:numPr>
        <w:jc w:val="both"/>
        <w:rPr>
          <w:b/>
          <w:bCs/>
        </w:rPr>
      </w:pPr>
      <w:r>
        <w:rPr>
          <w:b/>
        </w:rPr>
        <w:t>ΕΙΣΑΓΩΓΗ σχετικά με τη NEPSI και την υποβολή αναφορών της</w:t>
      </w:r>
    </w:p>
    <w:p w14:paraId="1E2E75E3" w14:textId="77777777" w:rsidR="00BB6798" w:rsidRDefault="00BB6798" w:rsidP="00E86DAA">
      <w:pPr>
        <w:jc w:val="both"/>
      </w:pPr>
    </w:p>
    <w:p w14:paraId="776D59FB" w14:textId="77777777" w:rsidR="00BB6798" w:rsidRDefault="00DE38D2" w:rsidP="00E86DAA">
      <w:pPr>
        <w:jc w:val="both"/>
      </w:pPr>
      <w:r>
        <w:t xml:space="preserve">Η ευρωπαϊκή «Σύμβαση Κοινωνικού Διαλόγου σχετικά με την προστασία της υγείας των εργαζομένων μέσω της ορθής διαχείρισης και χρήσης του κρυσταλλικού πυριτικού και των προϊόντων που το περιέχουν» (Σύμβαση SDA) υπεγράφη τον Απρίλιο του 2006 από τους αντιπροσώπους, σε ευρωπαϊκό επίπεδο, των εργοδοτών και των εργαζομένων 14 βιομηχανικών κλάδων: Αδρανή υλικά, τσιμέντο, κεραμικά, χυτήρια, βιομηχανίες υάλου - γυάλινα προϊόντα συσκευασίας, υαλοπίνακες και ειδικά προϊόντα από γυαλί - βιομηχανία βιομηχανικών ορυκτών και μεταλλικών ορυκτών, ορυκτοβάμβακας, διακοσμητικά πετρώματα, κονιάματα και προχυτευμένο σκυρόδεμα. Από το 2006, πέραν των 14 βιομηχανικών κλάδων, εντάχθηκαν στη Σύμβαση Κοινωνικού Διαλόγου και οι κλάδοι των παραγωγών διογκωμένης αργίλου, συσσωματωμένων λίθων, προαναμεμιγμένου σκυροδέματος και πυριτικού ασβεστίου. Από το 2019 η Σύμβαση εκπροσωπείται από 19 υπογράφοντες. Περισσότερα σχετικά με τη NEPSI: </w:t>
      </w:r>
      <w:hyperlink r:id="rId7" w:history="1">
        <w:r>
          <w:rPr>
            <w:rStyle w:val="Hyperlink"/>
          </w:rPr>
          <w:t>www.nepsi.eu</w:t>
        </w:r>
      </w:hyperlink>
      <w:r>
        <w:t>.</w:t>
      </w:r>
    </w:p>
    <w:p w14:paraId="3921EE31" w14:textId="77777777" w:rsidR="00BB6798" w:rsidRDefault="00BB6798" w:rsidP="00E86DAA">
      <w:pPr>
        <w:jc w:val="both"/>
      </w:pPr>
    </w:p>
    <w:p w14:paraId="65BB98F4" w14:textId="77777777" w:rsidR="00BB6798" w:rsidRDefault="00DE38D2" w:rsidP="00E86DAA">
      <w:pPr>
        <w:jc w:val="both"/>
      </w:pPr>
      <w:r>
        <w:t>Οι υπογράφοντες (18 Σύνδεσμοι Εργοδοτών και 1 Ομοσπονδία Σωματείων) συμφώνησαν για τη συλλογή ποσοτικών πληροφοριών εφαρμογής της Σύμβασης κάθε δύο έτη σε κάθε έναν κλάδο που αντιπροσωπεύεται. Η πρώτη συλλογή πληροφοριών πραγματοποιήθηκε το 2008.</w:t>
      </w:r>
    </w:p>
    <w:p w14:paraId="68E7A998" w14:textId="77777777" w:rsidR="00BB6798" w:rsidRDefault="00BB6798" w:rsidP="00E86DAA">
      <w:pPr>
        <w:jc w:val="both"/>
      </w:pPr>
    </w:p>
    <w:p w14:paraId="1A622E12" w14:textId="77777777" w:rsidR="00BB6798" w:rsidRDefault="00DE38D2" w:rsidP="00E86DAA">
      <w:pPr>
        <w:jc w:val="both"/>
      </w:pPr>
      <w:r>
        <w:t xml:space="preserve">Το ηλεκτρονικό σύστημα υποβολής αναφοράς επιτρέπει να καλούνται οι υπογράφουσες εταιρείες και εγκαταστάσεις να παρέχουν πληροφορίες για Κύριους Δείκτες Απόδοσης (ΚΡΙ) σχετικά με τη </w:t>
      </w:r>
      <w:hyperlink r:id="rId8" w:history="1">
        <w:r>
          <w:rPr>
            <w:rStyle w:val="Hyperlink"/>
          </w:rPr>
          <w:t>NEPSI</w:t>
        </w:r>
      </w:hyperlink>
      <w:r>
        <w:t xml:space="preserve"> σε επτά διαφορετικές ενότητες. Από τα δεδομένα που καταχωρούνται στο σύστημα, υπολογίζεται αυτόματα μια σειρά ΚΡΙ, για παράδειγμα το ποσοστό των εργαζομένων που δυνητικά εκτίθενται σε αναπνεύσιμο κρυσταλλικό πυριτικό (RCS) και καλύπτονται από τη </w:t>
      </w:r>
      <w:hyperlink r:id="rId9" w:history="1">
        <w:r>
          <w:rPr>
            <w:rStyle w:val="Hyperlink"/>
          </w:rPr>
          <w:t>Σύμβαση</w:t>
        </w:r>
      </w:hyperlink>
      <w:r>
        <w:t>.</w:t>
      </w:r>
    </w:p>
    <w:p w14:paraId="438E3A10" w14:textId="77777777" w:rsidR="00BB6798" w:rsidRDefault="00BB6798" w:rsidP="00E86DAA">
      <w:pPr>
        <w:jc w:val="both"/>
      </w:pPr>
    </w:p>
    <w:p w14:paraId="42564344" w14:textId="77777777" w:rsidR="00BB6798" w:rsidRPr="00BB6798" w:rsidRDefault="00DE38D2" w:rsidP="00E86DAA">
      <w:pPr>
        <w:pStyle w:val="ListParagraph"/>
        <w:numPr>
          <w:ilvl w:val="0"/>
          <w:numId w:val="1"/>
        </w:numPr>
        <w:jc w:val="both"/>
        <w:rPr>
          <w:rFonts w:cs="Calibri"/>
          <w:b/>
          <w:bCs/>
          <w:szCs w:val="28"/>
        </w:rPr>
      </w:pPr>
      <w:r>
        <w:rPr>
          <w:b/>
        </w:rPr>
        <w:t>Δομή αναφοράς</w:t>
      </w:r>
    </w:p>
    <w:p w14:paraId="025F5E2D" w14:textId="77777777" w:rsidR="00BB6798" w:rsidRDefault="00BB6798" w:rsidP="00E86DAA">
      <w:pPr>
        <w:jc w:val="both"/>
      </w:pPr>
    </w:p>
    <w:p w14:paraId="1FAC88FD" w14:textId="77777777" w:rsidR="00BB6798" w:rsidRDefault="00DE38D2" w:rsidP="00E86DAA">
      <w:pPr>
        <w:jc w:val="both"/>
      </w:pPr>
      <w:r>
        <w:t>Το ηλεκτρονικό σύστημα υποβολής αναφοράς επιτρέπει στον χρήστη να υποβάλλει αναφορά σε διαφορετικά επίπεδα. Τα επίπεδα είναι τα εξής:</w:t>
      </w:r>
    </w:p>
    <w:p w14:paraId="391024EF" w14:textId="77777777" w:rsidR="00BB6798" w:rsidRDefault="00BB6798" w:rsidP="00E86DAA">
      <w:pPr>
        <w:jc w:val="both"/>
      </w:pPr>
    </w:p>
    <w:p w14:paraId="3B65B932" w14:textId="77777777" w:rsidR="00BB6798" w:rsidRDefault="00BB6798" w:rsidP="00E86DAA">
      <w:pPr>
        <w:jc w:val="both"/>
      </w:pPr>
    </w:p>
    <w:p w14:paraId="487E7ADF" w14:textId="77777777" w:rsidR="00BB6798" w:rsidRPr="009B5B2F" w:rsidRDefault="00734327" w:rsidP="00E86DAA">
      <w:pPr>
        <w:pStyle w:val="ListParagraph"/>
        <w:numPr>
          <w:ilvl w:val="0"/>
          <w:numId w:val="3"/>
        </w:numPr>
        <w:jc w:val="both"/>
        <w:rPr>
          <w:color w:val="2F5496"/>
        </w:rPr>
      </w:pPr>
      <w:r>
        <w:pict w14:anchorId="3AE5E8E9">
          <v:shapetype id="_x0000_t202" coordsize="21600,21600" o:spt="202" path="m,l,21600r21600,l21600,xe">
            <v:stroke joinstyle="miter"/>
            <v:path gradientshapeok="t" o:connecttype="rect"/>
          </v:shapetype>
          <v:shape id="Text Box 2" o:spid="_x0000_s1039" type="#_x0000_t202" style="position:absolute;left:0;text-align:left;margin-left:245.65pt;margin-top:1pt;width:179.15pt;height:48.25pt;z-index:25165721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">
            <v:textbox style="mso-fit-shape-to-text:t">
              <w:txbxContent>
                <w:p w14:paraId="3AA9EB0E" w14:textId="77777777" w:rsidR="00AD3708" w:rsidRDefault="00DE38D2">
                  <w:r>
                    <w:rPr>
                      <w:color w:val="0070C0"/>
                    </w:rPr>
                    <w:t>Αυτό το έγγραφο παρέχει οδηγίες για την αναφορά ΚΡΙ από εταιρείες και εγκαταστάσεις.</w:t>
                  </w:r>
                </w:p>
              </w:txbxContent>
            </v:textbox>
            <w10:wrap type="square"/>
          </v:shape>
        </w:pict>
      </w:r>
      <w:r w:rsidR="00DE38D2">
        <w:rPr>
          <w:color w:val="2F5496"/>
        </w:rPr>
        <w:t>Επίπεδο εγκατάστασης</w:t>
      </w:r>
    </w:p>
    <w:p w14:paraId="373C9055" w14:textId="77777777" w:rsidR="00BB6798" w:rsidRPr="009B5B2F" w:rsidRDefault="00DE38D2" w:rsidP="00E86DAA">
      <w:pPr>
        <w:pStyle w:val="ListParagraph"/>
        <w:numPr>
          <w:ilvl w:val="0"/>
          <w:numId w:val="3"/>
        </w:numPr>
        <w:jc w:val="both"/>
        <w:rPr>
          <w:color w:val="2F5496"/>
        </w:rPr>
      </w:pPr>
      <w:r>
        <w:rPr>
          <w:color w:val="0070C0"/>
        </w:rPr>
        <w:t>Επίπεδο εταιρείας</w:t>
      </w:r>
    </w:p>
    <w:p w14:paraId="2979E61F" w14:textId="77777777" w:rsidR="00BB6798" w:rsidRPr="00BB6798" w:rsidRDefault="00DE38D2" w:rsidP="00E86DAA">
      <w:pPr>
        <w:pStyle w:val="ListParagraph"/>
        <w:numPr>
          <w:ilvl w:val="0"/>
          <w:numId w:val="3"/>
        </w:numPr>
        <w:jc w:val="both"/>
      </w:pPr>
      <w:r>
        <w:t>Επίπεδο Εθνικού Συνδέσμου</w:t>
      </w:r>
    </w:p>
    <w:p w14:paraId="447DF38D" w14:textId="77777777" w:rsidR="00BB6798" w:rsidRPr="00BB6798" w:rsidRDefault="00DE38D2" w:rsidP="00E86DAA">
      <w:pPr>
        <w:pStyle w:val="ListParagraph"/>
        <w:numPr>
          <w:ilvl w:val="0"/>
          <w:numId w:val="3"/>
        </w:numPr>
        <w:jc w:val="both"/>
      </w:pPr>
      <w:r>
        <w:t>Επίπεδο Ευρωπαϊκού Συνδέσμου</w:t>
      </w:r>
    </w:p>
    <w:p w14:paraId="2EF53C38" w14:textId="77777777" w:rsidR="00BB6798" w:rsidRDefault="00BB6798" w:rsidP="00E86DAA">
      <w:pPr>
        <w:jc w:val="both"/>
      </w:pPr>
    </w:p>
    <w:p w14:paraId="1113FB93" w14:textId="77777777" w:rsidR="00BB6798" w:rsidRDefault="00DE38D2" w:rsidP="00E86DAA">
      <w:pPr>
        <w:jc w:val="both"/>
      </w:pPr>
      <w:r>
        <w:t>Η παρακάτω εικόνα παρουσιάζει τα επίπεδα και τις υποχρεώσεις κάθε φορέα σε καθένα από τα επίπεδα (αποστολή προσκλήσεων ή αναφορά ΚΡΙ της NEPSI).</w:t>
      </w:r>
    </w:p>
    <w:p w14:paraId="46A6F7F7" w14:textId="77777777" w:rsidR="00BB6798" w:rsidRDefault="00BB6798" w:rsidP="00E86DAA">
      <w:pPr>
        <w:jc w:val="both"/>
      </w:pPr>
    </w:p>
    <w:p w14:paraId="0E83961A" w14:textId="77777777" w:rsidR="00BB6798" w:rsidRDefault="00BB6798" w:rsidP="00E86DAA">
      <w:pPr>
        <w:jc w:val="both"/>
      </w:pPr>
    </w:p>
    <w:p w14:paraId="69220EFA" w14:textId="319A5BAF" w:rsidR="00BB6798" w:rsidRDefault="00734327" w:rsidP="00734327">
      <w:pPr>
        <w:jc w:val="center"/>
      </w:pPr>
      <w:r>
        <w:rPr>
          <w:noProof/>
        </w:rPr>
        <w:lastRenderedPageBreak/>
        <w:drawing>
          <wp:inline distT="0" distB="0" distL="0" distR="0" wp14:anchorId="5A204D60" wp14:editId="662F24E7">
            <wp:extent cx="4789330" cy="279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5879" cy="2815235"/>
                    </a:xfrm>
                    <a:prstGeom prst="rect">
                      <a:avLst/>
                    </a:prstGeom>
                    <a:noFill/>
                  </pic:spPr>
                </pic:pic>
              </a:graphicData>
            </a:graphic>
          </wp:inline>
        </w:drawing>
      </w:r>
    </w:p>
    <w:p w14:paraId="5AA57B1D" w14:textId="77777777" w:rsidR="00BB6798" w:rsidRDefault="00BB6798" w:rsidP="00E86DAA">
      <w:pPr>
        <w:jc w:val="both"/>
      </w:pPr>
    </w:p>
    <w:p w14:paraId="1970EFC3" w14:textId="77777777" w:rsidR="00BB6798" w:rsidRDefault="00BB6798" w:rsidP="00E86DAA">
      <w:pPr>
        <w:jc w:val="both"/>
      </w:pPr>
    </w:p>
    <w:p w14:paraId="1CAAD8B8" w14:textId="77777777" w:rsidR="00BB6798" w:rsidRDefault="00DE38D2" w:rsidP="00E86DAA">
      <w:pPr>
        <w:jc w:val="both"/>
      </w:pPr>
      <w:r>
        <w:t>Οι δύο μέθοδοι υποβολής αναφοράς σε επίπεδο εγκατάστασης και σε επίπεδο εταιρείας περιγράφονται παρακάτω:</w:t>
      </w:r>
    </w:p>
    <w:p w14:paraId="6148CC41" w14:textId="77777777" w:rsidR="00BB6798" w:rsidRDefault="00BB6798" w:rsidP="00E86DAA">
      <w:pPr>
        <w:jc w:val="both"/>
      </w:pPr>
      <w:bookmarkStart w:id="0" w:name="_GoBack"/>
      <w:bookmarkEnd w:id="0"/>
    </w:p>
    <w:p w14:paraId="40D0C968" w14:textId="77777777" w:rsidR="00BB6798" w:rsidRPr="00AD3708" w:rsidRDefault="00DE38D2" w:rsidP="00E86DAA">
      <w:pPr>
        <w:pStyle w:val="ListParagraph"/>
        <w:numPr>
          <w:ilvl w:val="1"/>
          <w:numId w:val="1"/>
        </w:numPr>
        <w:ind w:left="993"/>
        <w:jc w:val="both"/>
        <w:rPr>
          <w:rFonts w:cs="Calibri"/>
          <w:b/>
          <w:bCs/>
        </w:rPr>
      </w:pPr>
      <w:r>
        <w:rPr>
          <w:b/>
        </w:rPr>
        <w:t>Επίπεδο εγκατάστασης</w:t>
      </w:r>
    </w:p>
    <w:p w14:paraId="24CB74EC" w14:textId="77777777" w:rsidR="00AD3708" w:rsidRDefault="00734327" w:rsidP="00E86DAA">
      <w:pPr>
        <w:jc w:val="both"/>
      </w:pPr>
    </w:p>
    <w:p w14:paraId="2C5148EB" w14:textId="77777777" w:rsidR="00BB6798" w:rsidRDefault="00DE38D2" w:rsidP="00E86DAA">
      <w:pPr>
        <w:jc w:val="both"/>
      </w:pPr>
      <w:r>
        <w:t>Το σύστημα που προβλέφθηκε αρχικά στη Σύμβαση SDA για την αναφορά των ΚΡΙ ήταν σε επίπεδο εγκατάστασης. Παραμένει η προτιμώμενη μέθοδος, ωστόσο αναγνωρίζεται ότι πολλές εταιρείες θεωρούν ευκολότερη την υποβολή αναφοράς σε επίπεδο εταιρείας.</w:t>
      </w:r>
    </w:p>
    <w:p w14:paraId="45672847" w14:textId="77777777" w:rsidR="00BB6798" w:rsidRDefault="00BB6798" w:rsidP="00E86DAA">
      <w:pPr>
        <w:jc w:val="both"/>
      </w:pPr>
    </w:p>
    <w:p w14:paraId="2180FB85" w14:textId="77777777" w:rsidR="00BB6798" w:rsidRPr="00AD3708" w:rsidRDefault="00DE38D2" w:rsidP="00E86DAA">
      <w:pPr>
        <w:pStyle w:val="ListParagraph"/>
        <w:numPr>
          <w:ilvl w:val="1"/>
          <w:numId w:val="1"/>
        </w:numPr>
        <w:ind w:left="993"/>
        <w:jc w:val="both"/>
        <w:rPr>
          <w:b/>
          <w:bCs/>
        </w:rPr>
      </w:pPr>
      <w:r>
        <w:rPr>
          <w:b/>
        </w:rPr>
        <w:t>Επίπεδο εταιρείας</w:t>
      </w:r>
    </w:p>
    <w:p w14:paraId="6C3DDAFB" w14:textId="77777777" w:rsidR="00BB6798" w:rsidRDefault="00BB6798" w:rsidP="00E86DAA">
      <w:pPr>
        <w:jc w:val="both"/>
      </w:pPr>
    </w:p>
    <w:p w14:paraId="1C06BBD5" w14:textId="77777777" w:rsidR="00BB6798" w:rsidRDefault="00DE38D2" w:rsidP="00E86DAA">
      <w:pPr>
        <w:jc w:val="both"/>
      </w:pPr>
      <w:r>
        <w:t>Οι εταιρείες μπορούν να συγκεντρώνουν δεδομένα εκτός του συστήματος από τις εγκαταστάσεις τους και να καταχωρούν τα δεδομένα τους ηλεκτρονικά σε μία αναφορά.</w:t>
      </w:r>
    </w:p>
    <w:p w14:paraId="49609C8A" w14:textId="77777777" w:rsidR="00BB6798" w:rsidRDefault="00BB6798" w:rsidP="00E86DA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3708" w:rsidRPr="009B5B2F" w14:paraId="46ACAF65" w14:textId="77777777" w:rsidTr="009B5B2F">
        <w:tc>
          <w:tcPr>
            <w:tcW w:w="9016" w:type="dxa"/>
            <w:shd w:val="clear" w:color="auto" w:fill="auto"/>
          </w:tcPr>
          <w:p w14:paraId="1A6242E3" w14:textId="77777777" w:rsidR="00AD3708" w:rsidRPr="009B5B2F" w:rsidRDefault="00DE38D2" w:rsidP="00E86DAA">
            <w:pPr>
              <w:jc w:val="both"/>
            </w:pPr>
            <w:r>
              <w:t>Όλες οι εγκαταστάσεις, είτε παράγεται σε αυτές μέσω μιας διεργασίας αναπνεύσιμο κρυσταλλικό πυριτικό είτε όχι, καλούνται να υποβάλλουν αναφορά στο Σύστημα Υποβολής Αναφοράς της NEPSI.</w:t>
            </w:r>
          </w:p>
        </w:tc>
      </w:tr>
    </w:tbl>
    <w:p w14:paraId="69D1809E" w14:textId="77777777" w:rsidR="00AD3708" w:rsidRDefault="00734327" w:rsidP="00E86DAA">
      <w:pPr>
        <w:jc w:val="both"/>
      </w:pPr>
    </w:p>
    <w:p w14:paraId="25401FD1" w14:textId="77777777" w:rsidR="00AD3708" w:rsidRPr="00AD3708" w:rsidRDefault="00DE38D2" w:rsidP="00E86DAA">
      <w:pPr>
        <w:pStyle w:val="ListParagraph"/>
        <w:numPr>
          <w:ilvl w:val="0"/>
          <w:numId w:val="1"/>
        </w:numPr>
        <w:jc w:val="both"/>
        <w:rPr>
          <w:rFonts w:cs="Calibri"/>
          <w:b/>
          <w:bCs/>
          <w:szCs w:val="28"/>
        </w:rPr>
      </w:pPr>
      <w:r>
        <w:rPr>
          <w:b/>
        </w:rPr>
        <w:t>Πρόσβαση στο σύστημα</w:t>
      </w:r>
    </w:p>
    <w:p w14:paraId="2811566A" w14:textId="77777777" w:rsidR="00AD3708" w:rsidRDefault="00734327" w:rsidP="00E86DAA">
      <w:pPr>
        <w:jc w:val="both"/>
      </w:pPr>
    </w:p>
    <w:p w14:paraId="3C2CF0E8" w14:textId="77777777" w:rsidR="00AD3708" w:rsidRDefault="00DE38D2" w:rsidP="00E86DAA">
      <w:pPr>
        <w:jc w:val="both"/>
      </w:pPr>
      <w:r>
        <w:t xml:space="preserve">Η πρόσβαση για εταιρείες και εγκαταστάσεις πραγματοποιείται μέσω ενός «Ονόματος χρήστη» (διεύθυνση email) και ενός Προσωπικού Αριθμού Αναγνώρισης (ΡΙΝ). Εάν χρησιμοποιείτε το σύστημα για πολλαπλές εταιρείες/εγκαταστάσεις, </w:t>
      </w:r>
      <w:bookmarkStart w:id="1" w:name="_Hlk27656934"/>
      <w:r>
        <w:t>η πρόσβαση είναι δυνατή μέσω ενός Ονόματος χρήστη και ενός PIN</w:t>
      </w:r>
      <w:bookmarkEnd w:id="1"/>
      <w:r>
        <w:t>.</w:t>
      </w:r>
    </w:p>
    <w:p w14:paraId="2322CA4D" w14:textId="77777777" w:rsidR="00AD3708" w:rsidRDefault="00734327" w:rsidP="00E86DAA">
      <w:pPr>
        <w:jc w:val="both"/>
      </w:pPr>
    </w:p>
    <w:p w14:paraId="08B7B388" w14:textId="77777777" w:rsidR="00AD3708" w:rsidRDefault="00DE38D2" w:rsidP="00E86DAA">
      <w:pPr>
        <w:jc w:val="both"/>
      </w:pPr>
      <w:r>
        <w:t>Την πρώτη φορά που εγγράφεται ένας χρήστης, αποστέλλονται αυτόματα από τα σύστημα ένας υπερσύνδεσμος και ο Προσωπικός Αριθμός Αναγνώρισης (ΡΙΝ) μέσω 2 ξεχωριστών email.</w:t>
      </w:r>
    </w:p>
    <w:p w14:paraId="0A6F2DCB" w14:textId="77777777" w:rsidR="00AD3708" w:rsidRDefault="00734327" w:rsidP="00E86DAA">
      <w:pPr>
        <w:jc w:val="both"/>
      </w:pPr>
    </w:p>
    <w:p w14:paraId="663C7FDD" w14:textId="77777777" w:rsidR="00AD3708" w:rsidRDefault="00DE38D2" w:rsidP="00E86DAA">
      <w:pPr>
        <w:jc w:val="both"/>
      </w:pPr>
      <w:r>
        <w:t>Μόλις συνδεθείτε, θα εισέλθετε σε έναν χώρο όπου μπορείτε να έχετε πρόσβαση σε οποιοδήποτε από τα σημεία υποβολής αναφοράς που συσχετίζεται με το Όνομα χρήστη σας, και έχετε τις παρακάτω επιλογές:</w:t>
      </w:r>
    </w:p>
    <w:p w14:paraId="3A022730" w14:textId="77777777" w:rsidR="00AD3708" w:rsidRDefault="00734327" w:rsidP="00E86DAA">
      <w:pPr>
        <w:jc w:val="both"/>
      </w:pPr>
    </w:p>
    <w:tbl>
      <w:tblPr>
        <w:tblW w:w="0" w:type="auto"/>
        <w:tblLook w:val="04A0" w:firstRow="1" w:lastRow="0" w:firstColumn="1" w:lastColumn="0" w:noHBand="0" w:noVBand="1"/>
      </w:tblPr>
      <w:tblGrid>
        <w:gridCol w:w="1803"/>
        <w:gridCol w:w="602"/>
        <w:gridCol w:w="2410"/>
        <w:gridCol w:w="709"/>
        <w:gridCol w:w="2268"/>
      </w:tblGrid>
      <w:tr w:rsidR="00AD3708" w:rsidRPr="009B5B2F" w14:paraId="125727B9" w14:textId="77777777" w:rsidTr="009B5B2F">
        <w:tc>
          <w:tcPr>
            <w:tcW w:w="1803" w:type="dxa"/>
            <w:tcBorders>
              <w:top w:val="single" w:sz="4" w:space="0" w:color="auto"/>
              <w:left w:val="single" w:sz="4" w:space="0" w:color="auto"/>
              <w:bottom w:val="single" w:sz="4" w:space="0" w:color="auto"/>
              <w:right w:val="single" w:sz="4" w:space="0" w:color="auto"/>
            </w:tcBorders>
            <w:shd w:val="clear" w:color="auto" w:fill="auto"/>
          </w:tcPr>
          <w:p w14:paraId="7FA63779" w14:textId="699E502D" w:rsidR="00AD3708" w:rsidRPr="009B5B2F" w:rsidRDefault="00F60E32" w:rsidP="00E86DAA">
            <w:pPr>
              <w:jc w:val="both"/>
            </w:pPr>
            <w:r>
              <w:t xml:space="preserve"> </w:t>
            </w:r>
            <w:r w:rsidR="00DE38D2">
              <w:t>(Οι κόμβοι μου)</w:t>
            </w:r>
          </w:p>
        </w:tc>
        <w:tc>
          <w:tcPr>
            <w:tcW w:w="602" w:type="dxa"/>
            <w:tcBorders>
              <w:left w:val="single" w:sz="4" w:space="0" w:color="auto"/>
              <w:right w:val="single" w:sz="4" w:space="0" w:color="auto"/>
            </w:tcBorders>
            <w:shd w:val="clear" w:color="auto" w:fill="auto"/>
          </w:tcPr>
          <w:p w14:paraId="26AB1166" w14:textId="77777777" w:rsidR="00AD3708" w:rsidRPr="009B5B2F" w:rsidRDefault="00734327" w:rsidP="00E86DAA">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C73406" w14:textId="7976AE67" w:rsidR="00AD3708" w:rsidRPr="009B5B2F" w:rsidRDefault="00F60E32" w:rsidP="00E86DAA">
            <w:pPr>
              <w:jc w:val="both"/>
            </w:pPr>
            <w:r>
              <w:t xml:space="preserve"> </w:t>
            </w:r>
            <w:r w:rsidR="00DE38D2">
              <w:t>(Αλλαγή των στοιχείων μου)</w:t>
            </w:r>
          </w:p>
        </w:tc>
        <w:tc>
          <w:tcPr>
            <w:tcW w:w="709" w:type="dxa"/>
            <w:tcBorders>
              <w:left w:val="single" w:sz="4" w:space="0" w:color="auto"/>
              <w:right w:val="single" w:sz="4" w:space="0" w:color="auto"/>
            </w:tcBorders>
            <w:shd w:val="clear" w:color="auto" w:fill="auto"/>
          </w:tcPr>
          <w:p w14:paraId="742385F8" w14:textId="77777777" w:rsidR="00AD3708" w:rsidRPr="009B5B2F" w:rsidRDefault="00734327" w:rsidP="00E86DAA">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D7795A" w14:textId="7ACE5F8F" w:rsidR="00AD3708" w:rsidRPr="009B5B2F" w:rsidRDefault="00DE38D2" w:rsidP="00E86DAA">
            <w:pPr>
              <w:jc w:val="both"/>
            </w:pPr>
            <w:r>
              <w:t>(Αλλαγή γλωσσών)</w:t>
            </w:r>
          </w:p>
        </w:tc>
      </w:tr>
    </w:tbl>
    <w:p w14:paraId="349B9643" w14:textId="77777777" w:rsidR="00AD3708" w:rsidRDefault="00734327" w:rsidP="00E86DAA">
      <w:pPr>
        <w:jc w:val="both"/>
      </w:pPr>
    </w:p>
    <w:p w14:paraId="4FE048B4" w14:textId="77777777" w:rsidR="00AD3708" w:rsidRDefault="00734327" w:rsidP="00E86DAA">
      <w:pPr>
        <w:jc w:val="both"/>
      </w:pPr>
    </w:p>
    <w:p w14:paraId="6A51FC5A" w14:textId="3B638A52" w:rsidR="00AD3708" w:rsidRDefault="00DE38D2" w:rsidP="00E86DAA">
      <w:pPr>
        <w:pStyle w:val="ListParagraph"/>
        <w:numPr>
          <w:ilvl w:val="0"/>
          <w:numId w:val="6"/>
        </w:numPr>
        <w:jc w:val="both"/>
      </w:pPr>
      <w:r>
        <w:rPr>
          <w:b/>
        </w:rPr>
        <w:t>Οι κόμβοι μου</w:t>
      </w:r>
      <w:r>
        <w:t>: Εταιρείες ή εγκαταστάσεις για τις οποίες επιβλέπω την πρόσκληση ή/και για τις οποίες έχω λάβει πρόσκληση.</w:t>
      </w:r>
    </w:p>
    <w:p w14:paraId="664AF62A" w14:textId="77777777" w:rsidR="00AD3708" w:rsidRDefault="00734327" w:rsidP="00E86DAA">
      <w:pPr>
        <w:jc w:val="both"/>
      </w:pPr>
    </w:p>
    <w:p w14:paraId="64D2918E" w14:textId="7B209BB9" w:rsidR="00AD3708" w:rsidRDefault="00DE38D2" w:rsidP="00E86DAA">
      <w:pPr>
        <w:pStyle w:val="ListParagraph"/>
        <w:numPr>
          <w:ilvl w:val="0"/>
          <w:numId w:val="5"/>
        </w:numPr>
        <w:jc w:val="both"/>
      </w:pPr>
      <w:r>
        <w:rPr>
          <w:b/>
        </w:rPr>
        <w:t>Αλλαγή των στοιχείων μου</w:t>
      </w:r>
      <w:r>
        <w:t>: Αλλαγή του ονόματός σας. Ο εγγραφέας σας θα ειδοποιηθεί για αυτήν την αλλαγή.</w:t>
      </w:r>
    </w:p>
    <w:p w14:paraId="7D26EECA" w14:textId="77777777" w:rsidR="00AD3708" w:rsidRDefault="00734327" w:rsidP="00E86DAA">
      <w:pPr>
        <w:jc w:val="both"/>
      </w:pPr>
    </w:p>
    <w:p w14:paraId="59A3C566" w14:textId="6832CF25" w:rsidR="00AD3708" w:rsidRDefault="00DE38D2" w:rsidP="00E86DAA">
      <w:pPr>
        <w:pStyle w:val="ListParagraph"/>
        <w:numPr>
          <w:ilvl w:val="0"/>
          <w:numId w:val="4"/>
        </w:numPr>
        <w:jc w:val="both"/>
      </w:pPr>
      <w:r>
        <w:rPr>
          <w:b/>
        </w:rPr>
        <w:t>Απόρριψη πρόσκλησης</w:t>
      </w:r>
      <w:r>
        <w:t>: Απόρριψη του αιτήματος υποβολής αναφοράς, εάν, για παράδειγμα, έχετε ήδη υποβάλει αναφορά σε κάποιον άλλο. Ο εγγραφέας σας θα ειδοποιηθεί για την απόρριψή σας και μπορεί να επικοινωνήσει μαζί σας. Εάν λάβετε δύο προσκλήσεις (π.χ. εάν η εγκατάσταση ανήκει σε δύο διαφορετικούς κλάδους ή συνδέσμους), θα πρέπει να απορρίψετε τη μία από τις δύο.</w:t>
      </w:r>
    </w:p>
    <w:p w14:paraId="7AD8CA5E" w14:textId="77777777" w:rsidR="00AD3708" w:rsidRDefault="00734327" w:rsidP="00E86DA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222AAA" w14:paraId="3228F406" w14:textId="77777777" w:rsidTr="00303E14">
        <w:tc>
          <w:tcPr>
            <w:tcW w:w="2518" w:type="dxa"/>
            <w:shd w:val="clear" w:color="auto" w:fill="auto"/>
          </w:tcPr>
          <w:p w14:paraId="69D88310" w14:textId="0769318B" w:rsidR="00222AAA" w:rsidRDefault="00DE38D2" w:rsidP="00E86DAA">
            <w:pPr>
              <w:jc w:val="both"/>
            </w:pPr>
            <w:r>
              <w:t>(Οι κόμβοι μου)</w:t>
            </w:r>
          </w:p>
        </w:tc>
      </w:tr>
    </w:tbl>
    <w:p w14:paraId="682663A4" w14:textId="77777777" w:rsidR="00AD3708" w:rsidRDefault="00734327" w:rsidP="00E86DAA">
      <w:pPr>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425"/>
      </w:tblGrid>
      <w:tr w:rsidR="00222AAA" w14:paraId="78B286AE" w14:textId="77777777" w:rsidTr="00F8634C">
        <w:tc>
          <w:tcPr>
            <w:tcW w:w="3520" w:type="dxa"/>
            <w:shd w:val="clear" w:color="auto" w:fill="ACB9CA"/>
            <w:vAlign w:val="center"/>
          </w:tcPr>
          <w:p w14:paraId="23C98623" w14:textId="77777777" w:rsidR="00222AAA" w:rsidRDefault="00DE38D2" w:rsidP="00E86DAA">
            <w:pPr>
              <w:spacing w:before="120" w:after="120"/>
              <w:jc w:val="center"/>
            </w:pPr>
            <w:r>
              <w:rPr>
                <w:b/>
              </w:rPr>
              <w:t>Λειτουργίες</w:t>
            </w:r>
          </w:p>
        </w:tc>
        <w:tc>
          <w:tcPr>
            <w:tcW w:w="3425" w:type="dxa"/>
            <w:shd w:val="clear" w:color="auto" w:fill="ACB9CA"/>
            <w:vAlign w:val="center"/>
          </w:tcPr>
          <w:p w14:paraId="052BB45A" w14:textId="77777777" w:rsidR="00222AAA" w:rsidRDefault="00DE38D2" w:rsidP="00E86DAA">
            <w:pPr>
              <w:spacing w:before="120" w:after="120"/>
              <w:jc w:val="center"/>
            </w:pPr>
            <w:r>
              <w:rPr>
                <w:b/>
              </w:rPr>
              <w:t>Περιγραφή</w:t>
            </w:r>
          </w:p>
        </w:tc>
      </w:tr>
      <w:tr w:rsidR="00222AAA" w14:paraId="140DDBC8" w14:textId="77777777" w:rsidTr="00303E14">
        <w:tc>
          <w:tcPr>
            <w:tcW w:w="3520" w:type="dxa"/>
            <w:shd w:val="clear" w:color="auto" w:fill="auto"/>
            <w:vAlign w:val="center"/>
          </w:tcPr>
          <w:p w14:paraId="73E5C4EF" w14:textId="29D5331A" w:rsidR="00222AAA" w:rsidRDefault="00DE38D2" w:rsidP="00F60E32">
            <w:pPr>
              <w:spacing w:before="120" w:after="120"/>
              <w:jc w:val="both"/>
            </w:pPr>
            <w:r>
              <w:t>Συμπλήρωση αναφοράς σε αυτό το επίπεδο</w:t>
            </w:r>
          </w:p>
        </w:tc>
        <w:tc>
          <w:tcPr>
            <w:tcW w:w="3425" w:type="dxa"/>
            <w:shd w:val="clear" w:color="auto" w:fill="auto"/>
          </w:tcPr>
          <w:p w14:paraId="50C0EB40" w14:textId="77777777" w:rsidR="00222AAA" w:rsidRDefault="00DE38D2" w:rsidP="00E86DAA">
            <w:pPr>
              <w:spacing w:before="120" w:after="120"/>
              <w:jc w:val="both"/>
            </w:pPr>
            <w:r>
              <w:t>Απάντηση ερωτήσεων και υποβολή δεδομένων</w:t>
            </w:r>
          </w:p>
        </w:tc>
      </w:tr>
      <w:tr w:rsidR="00222AAA" w14:paraId="1E7A23C2" w14:textId="77777777" w:rsidTr="00303E14">
        <w:tc>
          <w:tcPr>
            <w:tcW w:w="3520" w:type="dxa"/>
            <w:shd w:val="clear" w:color="auto" w:fill="auto"/>
            <w:vAlign w:val="center"/>
          </w:tcPr>
          <w:p w14:paraId="72B53FDA" w14:textId="34E45A9C" w:rsidR="00222AAA" w:rsidRDefault="00DE38D2" w:rsidP="00E86DAA">
            <w:pPr>
              <w:spacing w:before="120" w:after="120"/>
              <w:jc w:val="both"/>
            </w:pPr>
            <w:r>
              <w:t>Εγγραφή/Διαχείριση μελών</w:t>
            </w:r>
          </w:p>
        </w:tc>
        <w:tc>
          <w:tcPr>
            <w:tcW w:w="3425" w:type="dxa"/>
            <w:shd w:val="clear" w:color="auto" w:fill="auto"/>
          </w:tcPr>
          <w:p w14:paraId="2E5F70E1" w14:textId="77777777" w:rsidR="00222AAA" w:rsidRDefault="00DE38D2" w:rsidP="00E86DAA">
            <w:pPr>
              <w:spacing w:before="120" w:after="120"/>
              <w:jc w:val="both"/>
            </w:pPr>
            <w:r>
              <w:t xml:space="preserve">Προσθήκη, ενημέρωση ή διαγραφή μελών (εγκαταστάσεων και εταιρειών) </w:t>
            </w:r>
          </w:p>
        </w:tc>
      </w:tr>
      <w:tr w:rsidR="00222AAA" w14:paraId="4E2372CA" w14:textId="77777777" w:rsidTr="00303E14">
        <w:tc>
          <w:tcPr>
            <w:tcW w:w="3520" w:type="dxa"/>
            <w:shd w:val="clear" w:color="auto" w:fill="auto"/>
            <w:vAlign w:val="center"/>
          </w:tcPr>
          <w:p w14:paraId="4EBA8FE9" w14:textId="0E32A6F8" w:rsidR="00222AAA" w:rsidRPr="00303E14" w:rsidRDefault="00DE38D2" w:rsidP="00E86DAA">
            <w:pPr>
              <w:spacing w:before="120" w:after="120"/>
              <w:jc w:val="both"/>
            </w:pPr>
            <w:r>
              <w:t>Μεταβίβαση κυριότητας (αυτής της εγγραφής)</w:t>
            </w:r>
          </w:p>
        </w:tc>
        <w:tc>
          <w:tcPr>
            <w:tcW w:w="3425" w:type="dxa"/>
            <w:shd w:val="clear" w:color="auto" w:fill="auto"/>
          </w:tcPr>
          <w:p w14:paraId="662FAD97" w14:textId="77777777" w:rsidR="00222AAA" w:rsidRPr="00303E14" w:rsidRDefault="00DE38D2" w:rsidP="00E86DAA">
            <w:pPr>
              <w:spacing w:before="120" w:after="120"/>
              <w:jc w:val="both"/>
            </w:pPr>
            <w:r>
              <w:t>Δυνατότητα αλλαγής του ονόματος και του email του προσώπου που υποβάλει αναφορά</w:t>
            </w:r>
          </w:p>
        </w:tc>
      </w:tr>
      <w:tr w:rsidR="00222AAA" w14:paraId="22ACF23A" w14:textId="77777777" w:rsidTr="00303E14">
        <w:tc>
          <w:tcPr>
            <w:tcW w:w="3520" w:type="dxa"/>
            <w:shd w:val="clear" w:color="auto" w:fill="auto"/>
            <w:vAlign w:val="center"/>
          </w:tcPr>
          <w:p w14:paraId="40F78FAA" w14:textId="1F9D86B5" w:rsidR="00222AAA" w:rsidRPr="00303E14" w:rsidRDefault="00DE38D2" w:rsidP="00E86DAA">
            <w:pPr>
              <w:spacing w:before="120" w:after="120"/>
              <w:jc w:val="both"/>
            </w:pPr>
            <w:r>
              <w:t>Τροποποίηση επωνυμίας (αυτής της εγγραφής)</w:t>
            </w:r>
          </w:p>
        </w:tc>
        <w:tc>
          <w:tcPr>
            <w:tcW w:w="3425" w:type="dxa"/>
            <w:shd w:val="clear" w:color="auto" w:fill="auto"/>
          </w:tcPr>
          <w:p w14:paraId="744F5641" w14:textId="77777777" w:rsidR="00222AAA" w:rsidRPr="00303E14" w:rsidRDefault="00DE38D2" w:rsidP="00E86DAA">
            <w:pPr>
              <w:spacing w:before="120" w:after="120"/>
              <w:jc w:val="both"/>
            </w:pPr>
            <w:r>
              <w:t xml:space="preserve">Αλλαγή επωνυμίας και στοιχείων εταιρείας ή εγκατάστασης </w:t>
            </w:r>
          </w:p>
        </w:tc>
      </w:tr>
      <w:tr w:rsidR="00222AAA" w14:paraId="49AABE9E" w14:textId="77777777" w:rsidTr="00303E14">
        <w:tc>
          <w:tcPr>
            <w:tcW w:w="3520" w:type="dxa"/>
            <w:shd w:val="clear" w:color="auto" w:fill="auto"/>
            <w:vAlign w:val="center"/>
          </w:tcPr>
          <w:p w14:paraId="5FD5633A" w14:textId="19625597" w:rsidR="00222AAA" w:rsidRPr="00303E14" w:rsidRDefault="00DE38D2" w:rsidP="00E86DAA">
            <w:pPr>
              <w:spacing w:before="120" w:after="120"/>
              <w:jc w:val="both"/>
            </w:pPr>
            <w:r>
              <w:t>Εκτύπωση κενής αναφοράς</w:t>
            </w:r>
          </w:p>
        </w:tc>
        <w:tc>
          <w:tcPr>
            <w:tcW w:w="3425" w:type="dxa"/>
            <w:shd w:val="clear" w:color="auto" w:fill="auto"/>
          </w:tcPr>
          <w:p w14:paraId="184C7ED7" w14:textId="77777777" w:rsidR="00222AAA" w:rsidRPr="00303E14" w:rsidRDefault="00DE38D2" w:rsidP="00E86DAA">
            <w:pPr>
              <w:spacing w:before="120" w:after="120"/>
              <w:jc w:val="both"/>
            </w:pPr>
            <w:r>
              <w:t>Για να σας βοηθήσει να συγκεντρώσετε τα δεδομένα σας προτού συμπληρώσετε τη φόρμα</w:t>
            </w:r>
          </w:p>
        </w:tc>
      </w:tr>
      <w:tr w:rsidR="00222AAA" w14:paraId="38EC9ECB" w14:textId="77777777" w:rsidTr="00303E14">
        <w:tc>
          <w:tcPr>
            <w:tcW w:w="3520" w:type="dxa"/>
            <w:shd w:val="clear" w:color="auto" w:fill="auto"/>
            <w:vAlign w:val="center"/>
          </w:tcPr>
          <w:p w14:paraId="365F9C4D" w14:textId="56C989AE" w:rsidR="00222AAA" w:rsidRPr="00303E14" w:rsidRDefault="00DE38D2" w:rsidP="00E86DAA">
            <w:pPr>
              <w:spacing w:before="120" w:after="120"/>
              <w:jc w:val="both"/>
            </w:pPr>
            <w:r>
              <w:t>Προβολή ενοποιημένης αναφοράς</w:t>
            </w:r>
          </w:p>
        </w:tc>
        <w:tc>
          <w:tcPr>
            <w:tcW w:w="3425" w:type="dxa"/>
            <w:shd w:val="clear" w:color="auto" w:fill="auto"/>
          </w:tcPr>
          <w:p w14:paraId="0CFBF4D7" w14:textId="77777777" w:rsidR="00222AAA" w:rsidRPr="00303E14" w:rsidRDefault="00DE38D2" w:rsidP="00E86DAA">
            <w:pPr>
              <w:spacing w:before="120" w:after="120"/>
              <w:jc w:val="both"/>
            </w:pPr>
            <w:r>
              <w:t>Προβολή όλων των απαντήσεων που υποβλήθηκαν από την εγκατάσταση ή τις εγκαταστάσεις σας</w:t>
            </w:r>
          </w:p>
        </w:tc>
      </w:tr>
      <w:tr w:rsidR="00222AAA" w14:paraId="344B0AAC" w14:textId="77777777" w:rsidTr="00303E14">
        <w:tc>
          <w:tcPr>
            <w:tcW w:w="3520" w:type="dxa"/>
            <w:shd w:val="clear" w:color="auto" w:fill="auto"/>
            <w:vAlign w:val="center"/>
          </w:tcPr>
          <w:p w14:paraId="68949E8C" w14:textId="3B1E5C3C" w:rsidR="00222AAA" w:rsidRPr="00303E14" w:rsidRDefault="00DE38D2" w:rsidP="00E86DAA">
            <w:pPr>
              <w:spacing w:before="120" w:after="120"/>
              <w:jc w:val="both"/>
            </w:pPr>
            <w:r>
              <w:t>Προβολή αναφοράς μέλους</w:t>
            </w:r>
          </w:p>
        </w:tc>
        <w:tc>
          <w:tcPr>
            <w:tcW w:w="3425" w:type="dxa"/>
            <w:shd w:val="clear" w:color="auto" w:fill="auto"/>
          </w:tcPr>
          <w:p w14:paraId="289341AB" w14:textId="77777777" w:rsidR="00222AAA" w:rsidRPr="00303E14" w:rsidRDefault="00DE38D2" w:rsidP="00E86DAA">
            <w:pPr>
              <w:spacing w:before="120" w:after="120"/>
              <w:jc w:val="both"/>
            </w:pPr>
            <w:r>
              <w:t>Προβολή αναφορών από μεμονωμένες εγκαταστάσεις</w:t>
            </w:r>
          </w:p>
        </w:tc>
      </w:tr>
      <w:tr w:rsidR="00222AAA" w14:paraId="5D737D26" w14:textId="77777777" w:rsidTr="00303E14">
        <w:tc>
          <w:tcPr>
            <w:tcW w:w="3520" w:type="dxa"/>
            <w:shd w:val="clear" w:color="auto" w:fill="auto"/>
            <w:vAlign w:val="center"/>
          </w:tcPr>
          <w:p w14:paraId="3DE54240" w14:textId="1BA26417" w:rsidR="00222AAA" w:rsidRPr="00303E14" w:rsidRDefault="00DE38D2" w:rsidP="00E86DAA">
            <w:pPr>
              <w:spacing w:before="120" w:after="120"/>
              <w:jc w:val="both"/>
            </w:pPr>
            <w:r>
              <w:t>Προαιρετικές ερωτήσεις</w:t>
            </w:r>
          </w:p>
        </w:tc>
        <w:tc>
          <w:tcPr>
            <w:tcW w:w="3425" w:type="dxa"/>
            <w:shd w:val="clear" w:color="auto" w:fill="auto"/>
          </w:tcPr>
          <w:p w14:paraId="1F2B5BF5" w14:textId="77777777" w:rsidR="00222AAA" w:rsidRPr="00303E14" w:rsidRDefault="00DE38D2" w:rsidP="00E86DAA">
            <w:pPr>
              <w:spacing w:before="120" w:after="120"/>
              <w:jc w:val="both"/>
            </w:pPr>
            <w:r>
              <w:t>Επιπρόσθετες ερωτήσεις που συμπληρώνονται εθελοντικά</w:t>
            </w:r>
          </w:p>
        </w:tc>
      </w:tr>
      <w:tr w:rsidR="00222AAA" w14:paraId="66530CF0" w14:textId="77777777" w:rsidTr="00303E14">
        <w:tc>
          <w:tcPr>
            <w:tcW w:w="3520" w:type="dxa"/>
            <w:shd w:val="clear" w:color="auto" w:fill="auto"/>
            <w:vAlign w:val="center"/>
          </w:tcPr>
          <w:p w14:paraId="32950F05" w14:textId="04A72BB2" w:rsidR="00222AAA" w:rsidRPr="00303E14" w:rsidRDefault="00DE38D2" w:rsidP="00E86DAA">
            <w:pPr>
              <w:spacing w:before="120" w:after="120"/>
              <w:jc w:val="both"/>
            </w:pPr>
            <w:r>
              <w:lastRenderedPageBreak/>
              <w:t>Πιστοποιητικό</w:t>
            </w:r>
          </w:p>
        </w:tc>
        <w:tc>
          <w:tcPr>
            <w:tcW w:w="3425" w:type="dxa"/>
            <w:shd w:val="clear" w:color="auto" w:fill="auto"/>
          </w:tcPr>
          <w:p w14:paraId="1B6E0218" w14:textId="77777777" w:rsidR="00222AAA" w:rsidRPr="00303E14" w:rsidRDefault="00DE38D2" w:rsidP="00E86DAA">
            <w:pPr>
              <w:spacing w:before="120" w:after="120"/>
              <w:jc w:val="both"/>
            </w:pPr>
            <w:r>
              <w:t xml:space="preserve">Διατίθεται πιστοποιητικό για την ολοκλήρωση της υποβολής αναφοράς της NEPSI μετά το πέρας της περιόδου υποβολής αναφοράς </w:t>
            </w:r>
          </w:p>
        </w:tc>
      </w:tr>
    </w:tbl>
    <w:p w14:paraId="1B243233" w14:textId="77777777" w:rsidR="003B41B7" w:rsidRDefault="00734327" w:rsidP="00E86DAA">
      <w:pPr>
        <w:jc w:val="both"/>
      </w:pPr>
    </w:p>
    <w:p w14:paraId="56A68E4A" w14:textId="77777777" w:rsidR="003B41B7" w:rsidRDefault="00DE38D2" w:rsidP="00E86DAA">
      <w:pPr>
        <w:jc w:val="both"/>
      </w:pPr>
      <w:r>
        <w:t>Κάνοντας κλικ στην επιλογή «Fill in Report at this level» (Συμπλήρωση αναφοράς σε αυτό το επίπεδο), θα σας ζητηθεί να συμπληρώσετε δεδομένα για καθεμία από τις ερωτήσεις που περιλαμβάνονται στις απαιτούμενες ενότητες</w:t>
      </w:r>
    </w:p>
    <w:p w14:paraId="4EAD9CD3" w14:textId="77777777" w:rsidR="003B41B7" w:rsidRDefault="00734327" w:rsidP="00E86DAA">
      <w:pPr>
        <w:jc w:val="both"/>
      </w:pPr>
    </w:p>
    <w:p w14:paraId="756632BA" w14:textId="77777777" w:rsidR="003B41B7" w:rsidRPr="00222AAA" w:rsidRDefault="00DE38D2" w:rsidP="00E86DAA">
      <w:pPr>
        <w:pStyle w:val="ListParagraph"/>
        <w:numPr>
          <w:ilvl w:val="0"/>
          <w:numId w:val="1"/>
        </w:numPr>
        <w:jc w:val="both"/>
        <w:rPr>
          <w:rFonts w:cs="Calibri"/>
          <w:b/>
          <w:bCs/>
          <w:szCs w:val="28"/>
        </w:rPr>
      </w:pPr>
      <w:r>
        <w:rPr>
          <w:b/>
        </w:rPr>
        <w:t>Συμπλήρωση των απαιτούμενων δεδομένων</w:t>
      </w:r>
    </w:p>
    <w:p w14:paraId="6CB4EEDF" w14:textId="77777777" w:rsidR="003B41B7" w:rsidRDefault="00734327" w:rsidP="00E86DAA">
      <w:pPr>
        <w:jc w:val="both"/>
      </w:pPr>
    </w:p>
    <w:p w14:paraId="743CD107" w14:textId="77777777" w:rsidR="003B41B7" w:rsidRPr="00222AAA" w:rsidRDefault="00DE38D2" w:rsidP="00E86DAA">
      <w:pPr>
        <w:jc w:val="both"/>
      </w:pPr>
      <w:r>
        <w:t xml:space="preserve">Σε όλες τις ερωτήσεις υπάρχει επεξηγηματική σημείωση, η οποία είναι διαθέσιμη στο κουμπί «Help» (Βοήθεια)  </w:t>
      </w:r>
    </w:p>
    <w:p w14:paraId="5C2BE8A9" w14:textId="77777777" w:rsidR="003B41B7" w:rsidRDefault="00DE38D2" w:rsidP="00E86DAA">
      <w:pPr>
        <w:jc w:val="both"/>
      </w:pPr>
      <w:r>
        <w:t>Εάν υποβάλετε αναφορά σε επίπεδο εταιρείας, οι προκαταρκτικές ερωτήσεις ισχύουν για εσάς. Δεν ισχύουν σε επίπεδο εγκατάστασης. Η συμπλήρωση των προκαταρκτικών ερωτήσεων απαιτείται για την υποστήριξη της αναφοράς των ΚΡΙ.</w:t>
      </w:r>
    </w:p>
    <w:p w14:paraId="1B89839F" w14:textId="77777777" w:rsidR="003B41B7" w:rsidRDefault="00734327" w:rsidP="00E86DAA">
      <w:pPr>
        <w:jc w:val="both"/>
      </w:pPr>
    </w:p>
    <w:p w14:paraId="058B37A4" w14:textId="77777777" w:rsidR="003B41B7" w:rsidRDefault="00DE38D2" w:rsidP="00E86DAA">
      <w:pPr>
        <w:jc w:val="both"/>
      </w:pPr>
      <w:r>
        <w:rPr>
          <w:b/>
          <w:u w:val="single"/>
        </w:rPr>
        <w:t>Προκαταρκτικές ερωτήσεις</w:t>
      </w:r>
    </w:p>
    <w:p w14:paraId="48E24FFE" w14:textId="77777777" w:rsidR="00222AAA" w:rsidRDefault="00734327" w:rsidP="00E86DAA">
      <w:pPr>
        <w:jc w:val="both"/>
      </w:pPr>
    </w:p>
    <w:p w14:paraId="2D238CB4" w14:textId="77777777" w:rsidR="003B41B7" w:rsidRDefault="00DE38D2" w:rsidP="00E86DAA">
      <w:pPr>
        <w:numPr>
          <w:ilvl w:val="0"/>
          <w:numId w:val="7"/>
        </w:numPr>
        <w:spacing w:after="120"/>
        <w:ind w:left="714" w:hanging="357"/>
        <w:jc w:val="both"/>
      </w:pPr>
      <w:r>
        <w:t>Για πόσες εγκαταστάσεις υποβάλετε αναφορά;</w:t>
      </w:r>
    </w:p>
    <w:p w14:paraId="47D9AF87" w14:textId="77777777" w:rsidR="00BB6798" w:rsidRDefault="00DE38D2" w:rsidP="00E86DAA">
      <w:pPr>
        <w:numPr>
          <w:ilvl w:val="0"/>
          <w:numId w:val="7"/>
        </w:numPr>
        <w:spacing w:after="120"/>
        <w:ind w:left="714" w:hanging="357"/>
        <w:jc w:val="both"/>
      </w:pPr>
      <w:r>
        <w:t>Σε πόσες από αυτές τις εγκαταστάσεις υπάρχει αναπνεύσιμο κρυσταλλικό πυριτικό;</w:t>
      </w:r>
    </w:p>
    <w:p w14:paraId="052FBB98" w14:textId="77777777" w:rsidR="00222AAA" w:rsidRDefault="00DE38D2" w:rsidP="00E86DAA">
      <w:pPr>
        <w:numPr>
          <w:ilvl w:val="0"/>
          <w:numId w:val="7"/>
        </w:numPr>
        <w:spacing w:after="120"/>
        <w:ind w:left="714" w:hanging="357"/>
        <w:jc w:val="both"/>
      </w:pPr>
      <w:r>
        <w:t>Πόσοι εργαζόμενοι υπάρχουν σε εγκαταστάσεις με αναπνεύσιμο κρυσταλλικό πυριτικό;</w:t>
      </w:r>
    </w:p>
    <w:p w14:paraId="133C58C4" w14:textId="77777777" w:rsidR="00222AAA" w:rsidRDefault="00DE38D2" w:rsidP="00E86DAA">
      <w:pPr>
        <w:numPr>
          <w:ilvl w:val="0"/>
          <w:numId w:val="7"/>
        </w:numPr>
        <w:spacing w:after="120"/>
        <w:ind w:left="714" w:hanging="357"/>
        <w:jc w:val="both"/>
      </w:pPr>
      <w:r>
        <w:t>Σε πόσες από αυτές τις εγκαταστάσεις ΔΕΝ υπάρχει αναπνεύσιμο κρυσταλλικό πυριτικό;</w:t>
      </w:r>
    </w:p>
    <w:p w14:paraId="0D260091" w14:textId="77777777" w:rsidR="00222AAA" w:rsidRDefault="00DE38D2" w:rsidP="00E86DAA">
      <w:pPr>
        <w:numPr>
          <w:ilvl w:val="0"/>
          <w:numId w:val="7"/>
        </w:numPr>
        <w:jc w:val="both"/>
      </w:pPr>
      <w:r>
        <w:t>Πόσοι εργαζόμενοι υπάρχουν σε εγκαταστάσεις χωρίς αναπνεύσιμο κρυσταλλικό πυριτικό;</w:t>
      </w:r>
    </w:p>
    <w:p w14:paraId="05F07858" w14:textId="77777777" w:rsidR="00222AAA" w:rsidRDefault="00734327" w:rsidP="00E86DAA">
      <w:pPr>
        <w:jc w:val="both"/>
      </w:pPr>
    </w:p>
    <w:p w14:paraId="75458E40" w14:textId="77777777" w:rsidR="00222AAA" w:rsidRDefault="00DE38D2" w:rsidP="00E86DAA">
      <w:pPr>
        <w:jc w:val="both"/>
      </w:pPr>
      <w:r>
        <w:rPr>
          <w:b/>
          <w:u w:val="single"/>
        </w:rPr>
        <w:t>Ερωτήσεις αναφοράς</w:t>
      </w:r>
    </w:p>
    <w:p w14:paraId="086F15A1" w14:textId="77777777" w:rsidR="00222AAA" w:rsidRDefault="00734327" w:rsidP="00E86DAA">
      <w:pPr>
        <w:jc w:val="both"/>
      </w:pPr>
    </w:p>
    <w:p w14:paraId="289D7604" w14:textId="77777777" w:rsidR="00222AAA" w:rsidRDefault="00DE38D2" w:rsidP="00E86DAA">
      <w:pPr>
        <w:spacing w:after="120"/>
        <w:jc w:val="both"/>
      </w:pPr>
      <w:r>
        <w:rPr>
          <w:color w:val="C45911"/>
        </w:rPr>
        <w:t>Ενότητα 1 από 7: Γενικές πληροφορίες εγκατάστασης</w:t>
      </w:r>
    </w:p>
    <w:p w14:paraId="3BC53798" w14:textId="77777777" w:rsidR="00222AAA" w:rsidRDefault="00DE38D2" w:rsidP="00E86DAA">
      <w:pPr>
        <w:numPr>
          <w:ilvl w:val="0"/>
          <w:numId w:val="8"/>
        </w:numPr>
        <w:spacing w:after="120"/>
        <w:ind w:left="714" w:hanging="357"/>
        <w:jc w:val="both"/>
      </w:pPr>
      <w:r>
        <w:t>Επωνυμία της εγκατάστασης</w:t>
      </w:r>
    </w:p>
    <w:p w14:paraId="17F28848" w14:textId="77777777" w:rsidR="00222AAA" w:rsidRDefault="00DE38D2" w:rsidP="00E86DAA">
      <w:pPr>
        <w:numPr>
          <w:ilvl w:val="0"/>
          <w:numId w:val="8"/>
        </w:numPr>
        <w:jc w:val="both"/>
      </w:pPr>
      <w:r>
        <w:t>Αριθμός εργαζομένων (περιλαμβάνει τον συνολικό αριθμό εργαζομένων στην εγκατάσταση)</w:t>
      </w:r>
    </w:p>
    <w:p w14:paraId="4E62DF43" w14:textId="77777777" w:rsidR="00222AAA" w:rsidRDefault="00734327" w:rsidP="00E86DAA">
      <w:pPr>
        <w:jc w:val="both"/>
      </w:pPr>
    </w:p>
    <w:p w14:paraId="421BF484" w14:textId="77777777" w:rsidR="00222AAA" w:rsidRDefault="00DE38D2" w:rsidP="00E86DAA">
      <w:pPr>
        <w:jc w:val="both"/>
      </w:pPr>
      <w:r>
        <w:rPr>
          <w:color w:val="C45911"/>
        </w:rPr>
        <w:t>Ενότητα 2 από 7: Κίνδυνος έκθεσης</w:t>
      </w:r>
    </w:p>
    <w:p w14:paraId="45804A5D" w14:textId="77777777" w:rsidR="00222AAA" w:rsidRDefault="00734327" w:rsidP="00E86DAA">
      <w:pPr>
        <w:jc w:val="both"/>
      </w:pPr>
    </w:p>
    <w:p w14:paraId="65B1A687" w14:textId="77777777" w:rsidR="00222AAA" w:rsidRDefault="00DE38D2" w:rsidP="00E86DAA">
      <w:pPr>
        <w:numPr>
          <w:ilvl w:val="0"/>
          <w:numId w:val="8"/>
        </w:numPr>
        <w:jc w:val="both"/>
      </w:pPr>
      <w:r>
        <w:t>Αριθμός εργαζομένων με πιθανότητα έκθεσης σε αναπνεύσιμο κρυσταλλικό πυριτικό (RCS)</w:t>
      </w:r>
    </w:p>
    <w:p w14:paraId="6B4E7397" w14:textId="77777777" w:rsidR="00222AAA" w:rsidRDefault="00734327" w:rsidP="00E86DAA">
      <w:pPr>
        <w:jc w:val="both"/>
      </w:pPr>
    </w:p>
    <w:p w14:paraId="3BB54CEF" w14:textId="77777777" w:rsidR="00222AAA" w:rsidRDefault="00DE38D2" w:rsidP="00E86DAA">
      <w:pPr>
        <w:jc w:val="both"/>
      </w:pPr>
      <w:r>
        <w:rPr>
          <w:color w:val="C45911"/>
        </w:rPr>
        <w:t>Ενότητα 3 από 7: Εκτίμηση κινδύνου και παρακολούθηση σκόνης</w:t>
      </w:r>
    </w:p>
    <w:p w14:paraId="35554803" w14:textId="77777777" w:rsidR="00222AAA" w:rsidRDefault="00734327" w:rsidP="00E86DAA">
      <w:pPr>
        <w:jc w:val="both"/>
      </w:pPr>
    </w:p>
    <w:p w14:paraId="23B8771B" w14:textId="77777777" w:rsidR="00222AAA" w:rsidRDefault="00DE38D2" w:rsidP="00E86DAA">
      <w:pPr>
        <w:numPr>
          <w:ilvl w:val="0"/>
          <w:numId w:val="8"/>
        </w:numPr>
        <w:spacing w:after="120"/>
        <w:ind w:left="714" w:hanging="357"/>
        <w:jc w:val="both"/>
      </w:pPr>
      <w:r>
        <w:t>Από τον αριθμό εργαζομένων με πιθανότητα έκθεσης σε αναπνεύσιμο κρυσταλλικό πυριτικό, αριθμός εργαζομένων που καλύπτονται με εκτίμηση κινδύνου</w:t>
      </w:r>
    </w:p>
    <w:p w14:paraId="76BDFC61" w14:textId="77777777" w:rsidR="00222AAA" w:rsidRDefault="00DE38D2" w:rsidP="00E86DAA">
      <w:pPr>
        <w:numPr>
          <w:ilvl w:val="0"/>
          <w:numId w:val="8"/>
        </w:numPr>
        <w:spacing w:after="120"/>
        <w:ind w:left="714" w:hanging="357"/>
        <w:jc w:val="both"/>
      </w:pPr>
      <w:r>
        <w:t>Από τον αριθμό εργαζομένων με πιθανότητα έκθεσης σε αναπνεύσιμο κρυσταλλικό πυριτικό, αριθμός εργαζομένων που καλύπτονται από την παρακολούθηση έκθεσης</w:t>
      </w:r>
    </w:p>
    <w:p w14:paraId="71881091" w14:textId="77777777" w:rsidR="00222AAA" w:rsidRDefault="00DE38D2" w:rsidP="00E86DAA">
      <w:pPr>
        <w:numPr>
          <w:ilvl w:val="0"/>
          <w:numId w:val="8"/>
        </w:numPr>
        <w:jc w:val="both"/>
      </w:pPr>
      <w:r>
        <w:t>Από τον αριθμό εργαζομένων με πιθανότητα έκθεσης σε αναπνεύσιμο κρυσταλλικό πυριτικό, αριθμός εργαζομένων που έχουν υποβληθεί σε εκτίμηση κινδύνου και για τους οποίους απαιτείται εφαρμογή του Πρωτοκόλλου Παρακολούθησης Υγείας για Σιλίκωση</w:t>
      </w:r>
    </w:p>
    <w:p w14:paraId="0BF08A48" w14:textId="77777777" w:rsidR="00222AAA" w:rsidRDefault="00734327" w:rsidP="00E86DAA">
      <w:pPr>
        <w:jc w:val="both"/>
      </w:pPr>
    </w:p>
    <w:p w14:paraId="25F5AC86" w14:textId="77777777" w:rsidR="00222AAA" w:rsidRDefault="00DE38D2" w:rsidP="00E86DAA">
      <w:pPr>
        <w:jc w:val="both"/>
      </w:pPr>
      <w:r>
        <w:rPr>
          <w:color w:val="C45911"/>
        </w:rPr>
        <w:t>Ενότητα 4 από 7: Παρακολούθηση υγείας</w:t>
      </w:r>
    </w:p>
    <w:p w14:paraId="5CE84547" w14:textId="77777777" w:rsidR="00222AAA" w:rsidRDefault="00734327" w:rsidP="00E86DAA">
      <w:pPr>
        <w:jc w:val="both"/>
      </w:pPr>
    </w:p>
    <w:p w14:paraId="55B6A243" w14:textId="77777777" w:rsidR="00222AAA" w:rsidRDefault="00DE38D2" w:rsidP="00E86DAA">
      <w:pPr>
        <w:numPr>
          <w:ilvl w:val="0"/>
          <w:numId w:val="8"/>
        </w:numPr>
        <w:spacing w:after="120"/>
        <w:ind w:left="714" w:hanging="357"/>
        <w:jc w:val="both"/>
      </w:pPr>
      <w:r>
        <w:t>Από τον αριθμό εργαζομένων με πιθανότητα έκθεσης σε αναπνεύσιμο κρυσταλλικό πυριτικό, αριθμός εργαζομένων που καλύπτονται από το γενικό πρωτόκολλο παρακολούθησης υγείας</w:t>
      </w:r>
    </w:p>
    <w:p w14:paraId="5A7BCCA4" w14:textId="25287279" w:rsidR="00222AAA" w:rsidRDefault="00DE38D2" w:rsidP="00E86DAA">
      <w:pPr>
        <w:numPr>
          <w:ilvl w:val="0"/>
          <w:numId w:val="8"/>
        </w:numPr>
        <w:jc w:val="both"/>
      </w:pPr>
      <w:r>
        <w:t>Από τον αριθμό εργαζομένων με πιθανότητα έκθεσης σε αναπνεύσιμο κρυσταλλικό πυριτικό, αριθμός εργαζομένων που καλύπτονται από το πρωτόκολλο παρακολούθησης υγείας</w:t>
      </w:r>
      <w:r w:rsidR="00113454" w:rsidRPr="00F60E32">
        <w:t xml:space="preserve"> </w:t>
      </w:r>
      <w:r w:rsidR="00113454">
        <w:t>για σιλίκωση</w:t>
      </w:r>
    </w:p>
    <w:p w14:paraId="5A66836C" w14:textId="77777777" w:rsidR="00222AAA" w:rsidRDefault="00734327" w:rsidP="00E86DAA">
      <w:pPr>
        <w:jc w:val="both"/>
      </w:pPr>
    </w:p>
    <w:p w14:paraId="29CCA9E4" w14:textId="77777777" w:rsidR="00222AAA" w:rsidRDefault="00DE38D2" w:rsidP="00E86DAA">
      <w:pPr>
        <w:jc w:val="both"/>
      </w:pPr>
      <w:r>
        <w:rPr>
          <w:color w:val="C45911"/>
        </w:rPr>
        <w:t>Ενότητα 5 από 7: Εκπαίδευση</w:t>
      </w:r>
    </w:p>
    <w:p w14:paraId="2B9E59A2" w14:textId="77777777" w:rsidR="00222AAA" w:rsidRDefault="00734327" w:rsidP="00E86DAA">
      <w:pPr>
        <w:jc w:val="both"/>
      </w:pPr>
    </w:p>
    <w:p w14:paraId="74E17277" w14:textId="77777777" w:rsidR="00222AAA" w:rsidRDefault="00DE38D2" w:rsidP="00E86DAA">
      <w:pPr>
        <w:numPr>
          <w:ilvl w:val="0"/>
          <w:numId w:val="8"/>
        </w:numPr>
        <w:spacing w:after="120"/>
        <w:ind w:left="714" w:hanging="357"/>
        <w:jc w:val="both"/>
      </w:pPr>
      <w:r>
        <w:t>Από τον αριθμό εργαζομένων με πιθανότητα έκθεσης σε αναπνεύσιμο κρυσταλλικό πυριτικό, αριθμός εργαζομένων που καλύπτονται από τις διαδικασίες πληροφόρησης, ενημέρωσης και εκπαίδευσης στις Γενικές Αρχές</w:t>
      </w:r>
    </w:p>
    <w:p w14:paraId="07F13E8A" w14:textId="77777777" w:rsidR="00222AAA" w:rsidRDefault="00DE38D2" w:rsidP="00E86DAA">
      <w:pPr>
        <w:numPr>
          <w:ilvl w:val="0"/>
          <w:numId w:val="8"/>
        </w:numPr>
        <w:jc w:val="both"/>
      </w:pPr>
      <w:r>
        <w:t>Από τον αριθμό εργαζομένων με πιθανότητα έκθεσης σε αναπνεύσιμο κρυσταλλικό πυριτικό, αριθμός εργαζομένων που καλύπτονται από τις διαδικασίες πληροφόρησης, ενημέρωσης και εκπαίδευσης στα Φύλλα Οδηγιών Εργασίας</w:t>
      </w:r>
    </w:p>
    <w:p w14:paraId="4CF8D89F" w14:textId="77777777" w:rsidR="00222AAA" w:rsidRDefault="00734327" w:rsidP="00E86DAA">
      <w:pPr>
        <w:jc w:val="both"/>
      </w:pPr>
    </w:p>
    <w:p w14:paraId="019B3737" w14:textId="77777777" w:rsidR="00222AAA" w:rsidRDefault="00DE38D2" w:rsidP="00E86DAA">
      <w:pPr>
        <w:jc w:val="both"/>
      </w:pPr>
      <w:r>
        <w:rPr>
          <w:color w:val="C45911"/>
        </w:rPr>
        <w:t>Ενότητα 6 από 7: Καλές πρακτικές</w:t>
      </w:r>
    </w:p>
    <w:p w14:paraId="3AA1D83A" w14:textId="77777777" w:rsidR="00222AAA" w:rsidRDefault="00734327" w:rsidP="00E86DAA">
      <w:pPr>
        <w:jc w:val="both"/>
      </w:pPr>
    </w:p>
    <w:p w14:paraId="6DF0F918" w14:textId="77777777" w:rsidR="00222AAA" w:rsidRDefault="00DE38D2" w:rsidP="00E86DAA">
      <w:pPr>
        <w:numPr>
          <w:ilvl w:val="0"/>
          <w:numId w:val="8"/>
        </w:numPr>
        <w:spacing w:after="120"/>
        <w:ind w:left="714" w:hanging="357"/>
        <w:jc w:val="both"/>
      </w:pPr>
      <w:r>
        <w:t>Αριθμός εγκαταστάσεων στις οποίες εφαρμόζονται στην πηγή τεχνικά μέτρα για τον περιορισμό της δημιουργίας/διασποράς σωματιδίων</w:t>
      </w:r>
    </w:p>
    <w:p w14:paraId="5090F2B9" w14:textId="77777777" w:rsidR="00222AAA" w:rsidRDefault="00DE38D2" w:rsidP="00E86DAA">
      <w:pPr>
        <w:numPr>
          <w:ilvl w:val="0"/>
          <w:numId w:val="8"/>
        </w:numPr>
        <w:spacing w:after="120"/>
        <w:ind w:left="714" w:hanging="357"/>
        <w:jc w:val="both"/>
      </w:pPr>
      <w:r>
        <w:t>Αριθμός εγκαταστάσεων στις οποίες εφαρμόζονται οργανωτικά μέτρα</w:t>
      </w:r>
    </w:p>
    <w:p w14:paraId="63BC775A" w14:textId="77777777" w:rsidR="00222AAA" w:rsidRDefault="00DE38D2" w:rsidP="00E86DAA">
      <w:pPr>
        <w:numPr>
          <w:ilvl w:val="0"/>
          <w:numId w:val="8"/>
        </w:numPr>
        <w:jc w:val="both"/>
      </w:pPr>
      <w:r>
        <w:t>Αριθμός εγκαταστάσεων στις οποίες εφαρμόζεται διανομή και χρήση Μέσων Ατομικής Προστασίας</w:t>
      </w:r>
    </w:p>
    <w:p w14:paraId="503B90DC" w14:textId="77777777" w:rsidR="00222AAA" w:rsidRDefault="00734327" w:rsidP="00E86DAA">
      <w:pPr>
        <w:jc w:val="both"/>
      </w:pPr>
    </w:p>
    <w:p w14:paraId="1831279C" w14:textId="77777777" w:rsidR="00222AAA" w:rsidRDefault="00DE38D2" w:rsidP="00E86DAA">
      <w:pPr>
        <w:jc w:val="both"/>
      </w:pPr>
      <w:r>
        <w:rPr>
          <w:color w:val="C45911"/>
        </w:rPr>
        <w:t>Ενότητα 7 από 7: Σελίδα επιβεβαίωσης</w:t>
      </w:r>
    </w:p>
    <w:p w14:paraId="30C93D6D" w14:textId="77777777" w:rsidR="00222AAA" w:rsidRDefault="00734327" w:rsidP="00E86DAA">
      <w:pPr>
        <w:jc w:val="both"/>
      </w:pPr>
    </w:p>
    <w:p w14:paraId="33464974" w14:textId="77777777" w:rsidR="00222AAA" w:rsidRDefault="00DE38D2" w:rsidP="00E86DAA">
      <w:pPr>
        <w:jc w:val="both"/>
      </w:pPr>
      <w:r>
        <w:t>Οι ερωτήσεις για την αναφορά των ΚΡΙ εμφανίζονται επίσης κάνοντας κλικ στην επιλογή «Print Blank Report» (Εκτύπωση κενής αναφοράς)</w:t>
      </w:r>
    </w:p>
    <w:p w14:paraId="2A7CAC3A" w14:textId="77777777" w:rsidR="00222AAA" w:rsidRDefault="00734327" w:rsidP="00E86DAA">
      <w:pPr>
        <w:jc w:val="both"/>
      </w:pPr>
    </w:p>
    <w:p w14:paraId="0BE7F2AF" w14:textId="77777777" w:rsidR="00222AAA" w:rsidRPr="00F60E32" w:rsidRDefault="00DE38D2" w:rsidP="00E86DAA">
      <w:pPr>
        <w:pStyle w:val="ListParagraph"/>
        <w:numPr>
          <w:ilvl w:val="0"/>
          <w:numId w:val="1"/>
        </w:numPr>
        <w:jc w:val="both"/>
        <w:rPr>
          <w:rFonts w:cs="Calibri"/>
          <w:b/>
          <w:bCs/>
          <w:szCs w:val="28"/>
        </w:rPr>
      </w:pPr>
      <w:r w:rsidRPr="00F60E32">
        <w:rPr>
          <w:b/>
        </w:rPr>
        <w:t>Προαιρετικές ερωτήσεις</w:t>
      </w:r>
    </w:p>
    <w:p w14:paraId="5C55CD3C" w14:textId="77777777" w:rsidR="00222AAA" w:rsidRPr="00BF790C" w:rsidRDefault="00734327" w:rsidP="00E86DAA">
      <w:pPr>
        <w:jc w:val="both"/>
      </w:pPr>
    </w:p>
    <w:p w14:paraId="62AF5056" w14:textId="77777777" w:rsidR="00222AAA" w:rsidRPr="00BF790C" w:rsidRDefault="00DE38D2" w:rsidP="00E86DAA">
      <w:pPr>
        <w:jc w:val="both"/>
      </w:pPr>
      <w:r w:rsidRPr="00F60E32">
        <w:t>Αυτή η ενότητα επιτρέπει στον χρήστη να συμπληρώσει περισσότερες πληροφορίες σε εθελοντική βάση. Έχετε υπόψη ότι το ηλεκτρονικό σύστημα επιτρέπει μόνο απλό κείμενο. Οι προαιρετικές ερωτήσεις στο επίπεδο εταιρείας και στο επίπεδο εγκατάστασης είναι οι εξής:</w:t>
      </w:r>
    </w:p>
    <w:p w14:paraId="7AA9CF67" w14:textId="77777777" w:rsidR="00222AAA" w:rsidRPr="00BF790C" w:rsidRDefault="00734327" w:rsidP="00E86DAA">
      <w:pPr>
        <w:jc w:val="both"/>
      </w:pPr>
    </w:p>
    <w:p w14:paraId="47C0E60C" w14:textId="06CD2B19" w:rsidR="00222AAA" w:rsidRPr="00BF790C" w:rsidRDefault="00DE38D2" w:rsidP="00E86DAA">
      <w:pPr>
        <w:numPr>
          <w:ilvl w:val="0"/>
          <w:numId w:val="9"/>
        </w:numPr>
        <w:spacing w:after="120"/>
        <w:ind w:left="714" w:hanging="357"/>
        <w:jc w:val="both"/>
      </w:pPr>
      <w:r w:rsidRPr="00F60E32">
        <w:t xml:space="preserve">Πληροφορίες για πρωτοβουλίες που διοργανώθηκαν με στόχο την προώθηση/επεξήγηση της </w:t>
      </w:r>
      <w:r w:rsidR="00A96753">
        <w:t>Σύμβασης (</w:t>
      </w:r>
      <w:r w:rsidRPr="00F60E32">
        <w:t>SDA</w:t>
      </w:r>
      <w:r w:rsidR="00A96753">
        <w:t>)</w:t>
      </w:r>
      <w:r w:rsidRPr="00F60E32">
        <w:t xml:space="preserve"> της NEPSI</w:t>
      </w:r>
    </w:p>
    <w:p w14:paraId="4E463B2B" w14:textId="77777777" w:rsidR="00222AAA" w:rsidRPr="00BF790C" w:rsidRDefault="00DE38D2" w:rsidP="00E86DAA">
      <w:pPr>
        <w:numPr>
          <w:ilvl w:val="0"/>
          <w:numId w:val="9"/>
        </w:numPr>
        <w:spacing w:after="120"/>
        <w:ind w:left="714" w:hanging="357"/>
        <w:jc w:val="both"/>
      </w:pPr>
      <w:r w:rsidRPr="00F60E32">
        <w:t>Κοινοποιείτε την αναφορά της NEPSI στο εργατικό δυναμικό σας; Εάν ναι, πώς κοινοποιείται η αναφορά της NEPSI;</w:t>
      </w:r>
    </w:p>
    <w:p w14:paraId="7758AE2B" w14:textId="77777777" w:rsidR="00222AAA" w:rsidRPr="00F60E32" w:rsidRDefault="00DE38D2" w:rsidP="00E86DAA">
      <w:pPr>
        <w:numPr>
          <w:ilvl w:val="0"/>
          <w:numId w:val="9"/>
        </w:numPr>
        <w:spacing w:after="120"/>
        <w:ind w:left="714" w:hanging="357"/>
        <w:jc w:val="both"/>
      </w:pPr>
      <w:r w:rsidRPr="00F60E32">
        <w:t>Έχετε περαιτέρω δέσμευση με το εργατικό δυναμικό σας, συμπεριλαμβανομένων άλλων καλών πρακτικών;</w:t>
      </w:r>
    </w:p>
    <w:p w14:paraId="201EA7C0" w14:textId="77777777" w:rsidR="00BF790C" w:rsidRDefault="00BF790C" w:rsidP="00E86DAA">
      <w:pPr>
        <w:numPr>
          <w:ilvl w:val="0"/>
          <w:numId w:val="9"/>
        </w:numPr>
        <w:spacing w:after="120"/>
        <w:ind w:left="714" w:hanging="357"/>
        <w:jc w:val="both"/>
      </w:pPr>
      <w:r>
        <w:t xml:space="preserve">Η αναφορά σας περιλαμβάνει οποιεσδήποτε εγκαταστάσεις που πιστεύετε ότι δεν εφαρμόζουν τις Καλές Πρακτικές της σύμβασης της </w:t>
      </w:r>
      <w:r>
        <w:rPr>
          <w:lang w:val="en-US"/>
        </w:rPr>
        <w:t>NEPSI</w:t>
      </w:r>
      <w:r>
        <w:t>; Εάν ναι, αναφέρατε τους λόγους</w:t>
      </w:r>
    </w:p>
    <w:p w14:paraId="53163B9A" w14:textId="77777777" w:rsidR="00BF790C" w:rsidRDefault="00BF790C" w:rsidP="00E86DAA">
      <w:pPr>
        <w:numPr>
          <w:ilvl w:val="0"/>
          <w:numId w:val="9"/>
        </w:numPr>
        <w:spacing w:after="120"/>
        <w:ind w:left="714" w:hanging="357"/>
        <w:jc w:val="both"/>
      </w:pPr>
      <w:r>
        <w:lastRenderedPageBreak/>
        <w:t>Δώστε πληροφορίες σχετικά με τη στρατηγική που ακολουθείτε για την παρακολούθηση της έκθεσης (π.χ. στατικές ή ατομικές μετρήσεις, δειγματοληψία, μέθοδος σύγκρισης με τα εθνικά όρια, διαχείριση δεδομένων…)</w:t>
      </w:r>
    </w:p>
    <w:p w14:paraId="16F96E65" w14:textId="77777777" w:rsidR="00BF790C" w:rsidRPr="00BF790C" w:rsidRDefault="00BF790C" w:rsidP="00E86DAA">
      <w:pPr>
        <w:numPr>
          <w:ilvl w:val="0"/>
          <w:numId w:val="9"/>
        </w:numPr>
        <w:spacing w:after="120"/>
        <w:ind w:left="714" w:hanging="357"/>
        <w:jc w:val="both"/>
      </w:pPr>
      <w:r>
        <w:t>Εάν περισσότεροι εργαζόμενοι από εκείνους που αναφέρονται στις Ενότητες 3, 4 και 5 έχουν υποβληθεί σε εκτίμηση κινδύνου / παρακολούθηση σκόνης / εκπαίδευση παρακολούθησης της υγείας, προσδιορίστε πόσοι συνολικά</w:t>
      </w:r>
    </w:p>
    <w:p w14:paraId="7A0CDE4C" w14:textId="77777777" w:rsidR="00222AAA" w:rsidRDefault="00DE38D2" w:rsidP="00E86DAA">
      <w:pPr>
        <w:numPr>
          <w:ilvl w:val="0"/>
          <w:numId w:val="9"/>
        </w:numPr>
        <w:spacing w:after="120"/>
        <w:ind w:left="714" w:hanging="357"/>
        <w:jc w:val="both"/>
      </w:pPr>
      <w:r w:rsidRPr="00F60E32">
        <w:t>Οποιαδήποτε άλλα σχόλια</w:t>
      </w:r>
    </w:p>
    <w:p w14:paraId="5AB8FFFF" w14:textId="77777777" w:rsidR="00BF790C" w:rsidRPr="000C379E" w:rsidRDefault="00BF790C" w:rsidP="00BF790C">
      <w:pPr>
        <w:numPr>
          <w:ilvl w:val="0"/>
          <w:numId w:val="9"/>
        </w:numPr>
        <w:spacing w:after="120"/>
        <w:ind w:left="714" w:hanging="357"/>
        <w:jc w:val="both"/>
      </w:pPr>
      <w:r w:rsidRPr="000C379E">
        <w:t>Παρατηρήσεις για τη διαδικασία υποβολής αναφοράς</w:t>
      </w:r>
    </w:p>
    <w:p w14:paraId="0641B32E" w14:textId="77777777" w:rsidR="00BF790C" w:rsidRPr="00BF790C" w:rsidRDefault="00BF790C" w:rsidP="00F60E32">
      <w:pPr>
        <w:spacing w:after="120"/>
        <w:ind w:left="714"/>
        <w:jc w:val="both"/>
      </w:pPr>
    </w:p>
    <w:p w14:paraId="2183A183" w14:textId="77777777" w:rsidR="00222AAA" w:rsidRDefault="00734327" w:rsidP="00E86DAA">
      <w:pPr>
        <w:jc w:val="both"/>
      </w:pPr>
    </w:p>
    <w:p w14:paraId="51D7E219" w14:textId="77777777" w:rsidR="00222AAA" w:rsidRPr="00222AAA" w:rsidRDefault="00DE38D2" w:rsidP="00E86DAA">
      <w:pPr>
        <w:pStyle w:val="ListParagraph"/>
        <w:numPr>
          <w:ilvl w:val="0"/>
          <w:numId w:val="1"/>
        </w:numPr>
        <w:jc w:val="both"/>
        <w:rPr>
          <w:rFonts w:cs="Calibri"/>
          <w:b/>
          <w:bCs/>
          <w:szCs w:val="28"/>
        </w:rPr>
      </w:pPr>
      <w:r>
        <w:rPr>
          <w:b/>
        </w:rPr>
        <w:t>Ολοκλήρωση της αναφοράς</w:t>
      </w:r>
    </w:p>
    <w:p w14:paraId="6209CC2C" w14:textId="77777777" w:rsidR="00222AAA" w:rsidRDefault="00734327" w:rsidP="00E86DAA">
      <w:pPr>
        <w:jc w:val="both"/>
      </w:pPr>
    </w:p>
    <w:p w14:paraId="2CEA8DD3" w14:textId="77777777" w:rsidR="00222AAA" w:rsidRDefault="00DE38D2" w:rsidP="00E86DAA">
      <w:pPr>
        <w:jc w:val="both"/>
      </w:pPr>
      <w:r>
        <w:t>Για να ολοκληρώσει επιτυχώς την αναφορά, ο χρήστης θα πρέπει να κάνει κλικ στο κουμπί «Submit» (Υποβολή).</w:t>
      </w:r>
    </w:p>
    <w:p w14:paraId="3D4FA953" w14:textId="77777777" w:rsidR="00222AAA" w:rsidRDefault="00734327" w:rsidP="00E86DAA">
      <w:pPr>
        <w:jc w:val="both"/>
      </w:pPr>
    </w:p>
    <w:p w14:paraId="341FAE8B" w14:textId="77777777" w:rsidR="00222AAA" w:rsidRDefault="00DE38D2" w:rsidP="00E86DAA">
      <w:pPr>
        <w:jc w:val="both"/>
      </w:pPr>
      <w:r>
        <w:t>Μόλις ολοκληρωθεί και υποβληθεί η αναφορά σας, έχετε την επιλογή να την εκτυπώσετε. Θα έχετε επίσης την επιλογή να εκτυπώσετε ένα πιστοποιητικό, το οποίο επιβεβαιώνει την ολοκλήρωση της αναφοράς της NEPSI, μετά το πέρας της περιόδου υποβολής αναφοράς. Θα ειδοποιηθείτε μέσω ενός αυτόματου email, μόλις καταστεί διαθέσιμη η δυνατότητα εκτύπωσης του πιστοποιητικού.</w:t>
      </w:r>
    </w:p>
    <w:p w14:paraId="3E77D8B9" w14:textId="77777777" w:rsidR="00222AAA" w:rsidRDefault="00734327" w:rsidP="00E86DAA">
      <w:pPr>
        <w:jc w:val="both"/>
      </w:pPr>
    </w:p>
    <w:p w14:paraId="16C1FCF6" w14:textId="77777777" w:rsidR="00222AAA" w:rsidRPr="00222AAA" w:rsidRDefault="00DE38D2" w:rsidP="00E86DAA">
      <w:pPr>
        <w:pStyle w:val="ListParagraph"/>
        <w:numPr>
          <w:ilvl w:val="0"/>
          <w:numId w:val="1"/>
        </w:numPr>
        <w:jc w:val="both"/>
        <w:rPr>
          <w:rFonts w:cs="Calibri"/>
          <w:b/>
          <w:bCs/>
          <w:szCs w:val="28"/>
        </w:rPr>
      </w:pPr>
      <w:r>
        <w:rPr>
          <w:b/>
        </w:rPr>
        <w:t>Ερωτήσεις και τεχνικά προβλήματα</w:t>
      </w:r>
    </w:p>
    <w:p w14:paraId="2B123559" w14:textId="77777777" w:rsidR="00222AAA" w:rsidRDefault="00734327" w:rsidP="00E86DAA">
      <w:pPr>
        <w:jc w:val="both"/>
      </w:pPr>
    </w:p>
    <w:p w14:paraId="749551D9" w14:textId="77777777" w:rsidR="00222AAA" w:rsidRDefault="00DE38D2" w:rsidP="00E86DAA">
      <w:pPr>
        <w:jc w:val="both"/>
      </w:pPr>
      <w:r>
        <w:t xml:space="preserve">Για τυχόν ερωτήσεις και τεχνικά προβλήματα, επικοινωνήστε με τον Εθνικό Σύνδεσμο / την Εταιρεία σας ή με το Γραφείο Υποστήριξης της NEPSI, David Yelland στη διεύθυνση </w:t>
      </w:r>
      <w:hyperlink r:id="rId11" w:history="1">
        <w:r>
          <w:rPr>
            <w:rStyle w:val="Hyperlink"/>
          </w:rPr>
          <w:t>helpdesk@nepsidata.com</w:t>
        </w:r>
      </w:hyperlink>
      <w:r>
        <w:t>.</w:t>
      </w:r>
    </w:p>
    <w:p w14:paraId="1F71ECB7" w14:textId="77777777" w:rsidR="00222AAA" w:rsidRDefault="00734327" w:rsidP="00E86DAA">
      <w:pPr>
        <w:jc w:val="both"/>
      </w:pPr>
    </w:p>
    <w:p w14:paraId="7092FE1F" w14:textId="77777777" w:rsidR="00222AAA" w:rsidRDefault="00DE38D2" w:rsidP="00E86DAA">
      <w:pPr>
        <w:jc w:val="both"/>
      </w:pPr>
      <w:r>
        <w:t>ΣΗΜΕΙΩΣΗ: Παρακαλείστε να ελέγξετε τον φάκελο των ανεπιθύμητων μηνυμάτων, εάν δεν έχετε λάβει ακόμη πρόσκληση για την υποβολή αναφοράς των KPI της NEPSI.</w:t>
      </w:r>
    </w:p>
    <w:p w14:paraId="522BDCB4" w14:textId="77777777" w:rsidR="00222AAA" w:rsidRDefault="00734327" w:rsidP="00E86DAA">
      <w:pPr>
        <w:jc w:val="both"/>
      </w:pPr>
    </w:p>
    <w:p w14:paraId="6BC68B96" w14:textId="77777777" w:rsidR="00222AAA" w:rsidRDefault="00734327" w:rsidP="00E86DAA">
      <w:pPr>
        <w:jc w:val="both"/>
      </w:pPr>
    </w:p>
    <w:sectPr w:rsidR="00222AA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97A7" w14:textId="77777777" w:rsidR="00DE38D2" w:rsidRDefault="00DE38D2" w:rsidP="00BB6798">
      <w:r>
        <w:separator/>
      </w:r>
    </w:p>
  </w:endnote>
  <w:endnote w:type="continuationSeparator" w:id="0">
    <w:p w14:paraId="15DEFFD6" w14:textId="77777777" w:rsidR="00DE38D2" w:rsidRDefault="00DE38D2" w:rsidP="00BB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A491" w14:textId="77777777" w:rsidR="00DE38D2" w:rsidRDefault="00DE38D2" w:rsidP="00BB6798">
      <w:r>
        <w:separator/>
      </w:r>
    </w:p>
  </w:footnote>
  <w:footnote w:type="continuationSeparator" w:id="0">
    <w:p w14:paraId="6EE12AEF" w14:textId="77777777" w:rsidR="00DE38D2" w:rsidRDefault="00DE38D2" w:rsidP="00BB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7124" w14:textId="77777777" w:rsidR="00BB6798" w:rsidRDefault="00113454" w:rsidP="00BB6798">
    <w:pPr>
      <w:pStyle w:val="Header"/>
      <w:tabs>
        <w:tab w:val="clear" w:pos="4513"/>
      </w:tabs>
    </w:pPr>
    <w:r>
      <w:rPr>
        <w:noProof/>
      </w:rPr>
      <w:drawing>
        <wp:inline distT="0" distB="0" distL="0" distR="0" wp14:anchorId="26F4D976" wp14:editId="1A474189">
          <wp:extent cx="1077595" cy="734695"/>
          <wp:effectExtent l="19050" t="0" r="8255" b="0"/>
          <wp:docPr id="2" name="Picture 1" descr="SiO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2-4"/>
                  <pic:cNvPicPr>
                    <a:picLocks noChangeAspect="1" noChangeArrowheads="1"/>
                  </pic:cNvPicPr>
                </pic:nvPicPr>
                <pic:blipFill>
                  <a:blip r:embed="rId1"/>
                  <a:srcRect/>
                  <a:stretch>
                    <a:fillRect/>
                  </a:stretch>
                </pic:blipFill>
                <pic:spPr bwMode="auto">
                  <a:xfrm>
                    <a:off x="0" y="0"/>
                    <a:ext cx="1077595" cy="734695"/>
                  </a:xfrm>
                  <a:prstGeom prst="rect">
                    <a:avLst/>
                  </a:prstGeom>
                  <a:noFill/>
                  <a:ln w="9525">
                    <a:noFill/>
                    <a:miter lim="800000"/>
                    <a:headEnd/>
                    <a:tailEnd/>
                  </a:ln>
                </pic:spPr>
              </pic:pic>
            </a:graphicData>
          </a:graphic>
        </wp:inline>
      </w:drawing>
    </w:r>
    <w:r w:rsidR="00DE38D2">
      <w:tab/>
      <w:t>Ιανουάριος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EF2"/>
    <w:multiLevelType w:val="hybridMultilevel"/>
    <w:tmpl w:val="2B967994"/>
    <w:lvl w:ilvl="0" w:tplc="DC66B10A">
      <w:start w:val="1"/>
      <w:numFmt w:val="bullet"/>
      <w:lvlText w:val=""/>
      <w:lvlJc w:val="left"/>
      <w:pPr>
        <w:ind w:left="720" w:hanging="360"/>
      </w:pPr>
      <w:rPr>
        <w:rFonts w:ascii="Symbol" w:hAnsi="Symbol" w:hint="default"/>
      </w:rPr>
    </w:lvl>
    <w:lvl w:ilvl="1" w:tplc="76482044" w:tentative="1">
      <w:start w:val="1"/>
      <w:numFmt w:val="bullet"/>
      <w:lvlText w:val="o"/>
      <w:lvlJc w:val="left"/>
      <w:pPr>
        <w:ind w:left="1440" w:hanging="360"/>
      </w:pPr>
      <w:rPr>
        <w:rFonts w:ascii="Courier New" w:hAnsi="Courier New" w:cs="Courier New" w:hint="default"/>
      </w:rPr>
    </w:lvl>
    <w:lvl w:ilvl="2" w:tplc="3938A924" w:tentative="1">
      <w:start w:val="1"/>
      <w:numFmt w:val="bullet"/>
      <w:lvlText w:val=""/>
      <w:lvlJc w:val="left"/>
      <w:pPr>
        <w:ind w:left="2160" w:hanging="360"/>
      </w:pPr>
      <w:rPr>
        <w:rFonts w:ascii="Wingdings" w:hAnsi="Wingdings" w:hint="default"/>
      </w:rPr>
    </w:lvl>
    <w:lvl w:ilvl="3" w:tplc="730ADCC2" w:tentative="1">
      <w:start w:val="1"/>
      <w:numFmt w:val="bullet"/>
      <w:lvlText w:val=""/>
      <w:lvlJc w:val="left"/>
      <w:pPr>
        <w:ind w:left="2880" w:hanging="360"/>
      </w:pPr>
      <w:rPr>
        <w:rFonts w:ascii="Symbol" w:hAnsi="Symbol" w:hint="default"/>
      </w:rPr>
    </w:lvl>
    <w:lvl w:ilvl="4" w:tplc="9DA42C20" w:tentative="1">
      <w:start w:val="1"/>
      <w:numFmt w:val="bullet"/>
      <w:lvlText w:val="o"/>
      <w:lvlJc w:val="left"/>
      <w:pPr>
        <w:ind w:left="3600" w:hanging="360"/>
      </w:pPr>
      <w:rPr>
        <w:rFonts w:ascii="Courier New" w:hAnsi="Courier New" w:cs="Courier New" w:hint="default"/>
      </w:rPr>
    </w:lvl>
    <w:lvl w:ilvl="5" w:tplc="30D234E0" w:tentative="1">
      <w:start w:val="1"/>
      <w:numFmt w:val="bullet"/>
      <w:lvlText w:val=""/>
      <w:lvlJc w:val="left"/>
      <w:pPr>
        <w:ind w:left="4320" w:hanging="360"/>
      </w:pPr>
      <w:rPr>
        <w:rFonts w:ascii="Wingdings" w:hAnsi="Wingdings" w:hint="default"/>
      </w:rPr>
    </w:lvl>
    <w:lvl w:ilvl="6" w:tplc="CFBCD91C" w:tentative="1">
      <w:start w:val="1"/>
      <w:numFmt w:val="bullet"/>
      <w:lvlText w:val=""/>
      <w:lvlJc w:val="left"/>
      <w:pPr>
        <w:ind w:left="5040" w:hanging="360"/>
      </w:pPr>
      <w:rPr>
        <w:rFonts w:ascii="Symbol" w:hAnsi="Symbol" w:hint="default"/>
      </w:rPr>
    </w:lvl>
    <w:lvl w:ilvl="7" w:tplc="800A8EAE" w:tentative="1">
      <w:start w:val="1"/>
      <w:numFmt w:val="bullet"/>
      <w:lvlText w:val="o"/>
      <w:lvlJc w:val="left"/>
      <w:pPr>
        <w:ind w:left="5760" w:hanging="360"/>
      </w:pPr>
      <w:rPr>
        <w:rFonts w:ascii="Courier New" w:hAnsi="Courier New" w:cs="Courier New" w:hint="default"/>
      </w:rPr>
    </w:lvl>
    <w:lvl w:ilvl="8" w:tplc="3612E30A" w:tentative="1">
      <w:start w:val="1"/>
      <w:numFmt w:val="bullet"/>
      <w:lvlText w:val=""/>
      <w:lvlJc w:val="left"/>
      <w:pPr>
        <w:ind w:left="6480" w:hanging="360"/>
      </w:pPr>
      <w:rPr>
        <w:rFonts w:ascii="Wingdings" w:hAnsi="Wingdings" w:hint="default"/>
      </w:rPr>
    </w:lvl>
  </w:abstractNum>
  <w:abstractNum w:abstractNumId="1" w15:restartNumberingAfterBreak="0">
    <w:nsid w:val="0FDA4C03"/>
    <w:multiLevelType w:val="hybridMultilevel"/>
    <w:tmpl w:val="903490EC"/>
    <w:lvl w:ilvl="0" w:tplc="EBEE984C">
      <w:start w:val="1"/>
      <w:numFmt w:val="bullet"/>
      <w:lvlText w:val=""/>
      <w:lvlJc w:val="left"/>
      <w:pPr>
        <w:ind w:left="720" w:hanging="360"/>
      </w:pPr>
      <w:rPr>
        <w:rFonts w:ascii="Symbol" w:hAnsi="Symbol" w:hint="default"/>
      </w:rPr>
    </w:lvl>
    <w:lvl w:ilvl="1" w:tplc="0452369E" w:tentative="1">
      <w:start w:val="1"/>
      <w:numFmt w:val="bullet"/>
      <w:lvlText w:val="o"/>
      <w:lvlJc w:val="left"/>
      <w:pPr>
        <w:ind w:left="1440" w:hanging="360"/>
      </w:pPr>
      <w:rPr>
        <w:rFonts w:ascii="Courier New" w:hAnsi="Courier New" w:cs="Courier New" w:hint="default"/>
      </w:rPr>
    </w:lvl>
    <w:lvl w:ilvl="2" w:tplc="C3CA8D9A" w:tentative="1">
      <w:start w:val="1"/>
      <w:numFmt w:val="bullet"/>
      <w:lvlText w:val=""/>
      <w:lvlJc w:val="left"/>
      <w:pPr>
        <w:ind w:left="2160" w:hanging="360"/>
      </w:pPr>
      <w:rPr>
        <w:rFonts w:ascii="Wingdings" w:hAnsi="Wingdings" w:hint="default"/>
      </w:rPr>
    </w:lvl>
    <w:lvl w:ilvl="3" w:tplc="C09CBFFA" w:tentative="1">
      <w:start w:val="1"/>
      <w:numFmt w:val="bullet"/>
      <w:lvlText w:val=""/>
      <w:lvlJc w:val="left"/>
      <w:pPr>
        <w:ind w:left="2880" w:hanging="360"/>
      </w:pPr>
      <w:rPr>
        <w:rFonts w:ascii="Symbol" w:hAnsi="Symbol" w:hint="default"/>
      </w:rPr>
    </w:lvl>
    <w:lvl w:ilvl="4" w:tplc="4B9E4A2A" w:tentative="1">
      <w:start w:val="1"/>
      <w:numFmt w:val="bullet"/>
      <w:lvlText w:val="o"/>
      <w:lvlJc w:val="left"/>
      <w:pPr>
        <w:ind w:left="3600" w:hanging="360"/>
      </w:pPr>
      <w:rPr>
        <w:rFonts w:ascii="Courier New" w:hAnsi="Courier New" w:cs="Courier New" w:hint="default"/>
      </w:rPr>
    </w:lvl>
    <w:lvl w:ilvl="5" w:tplc="8AE4D6F4" w:tentative="1">
      <w:start w:val="1"/>
      <w:numFmt w:val="bullet"/>
      <w:lvlText w:val=""/>
      <w:lvlJc w:val="left"/>
      <w:pPr>
        <w:ind w:left="4320" w:hanging="360"/>
      </w:pPr>
      <w:rPr>
        <w:rFonts w:ascii="Wingdings" w:hAnsi="Wingdings" w:hint="default"/>
      </w:rPr>
    </w:lvl>
    <w:lvl w:ilvl="6" w:tplc="D628752E" w:tentative="1">
      <w:start w:val="1"/>
      <w:numFmt w:val="bullet"/>
      <w:lvlText w:val=""/>
      <w:lvlJc w:val="left"/>
      <w:pPr>
        <w:ind w:left="5040" w:hanging="360"/>
      </w:pPr>
      <w:rPr>
        <w:rFonts w:ascii="Symbol" w:hAnsi="Symbol" w:hint="default"/>
      </w:rPr>
    </w:lvl>
    <w:lvl w:ilvl="7" w:tplc="D1DA4294" w:tentative="1">
      <w:start w:val="1"/>
      <w:numFmt w:val="bullet"/>
      <w:lvlText w:val="o"/>
      <w:lvlJc w:val="left"/>
      <w:pPr>
        <w:ind w:left="5760" w:hanging="360"/>
      </w:pPr>
      <w:rPr>
        <w:rFonts w:ascii="Courier New" w:hAnsi="Courier New" w:cs="Courier New" w:hint="default"/>
      </w:rPr>
    </w:lvl>
    <w:lvl w:ilvl="8" w:tplc="73EA5CF0" w:tentative="1">
      <w:start w:val="1"/>
      <w:numFmt w:val="bullet"/>
      <w:lvlText w:val=""/>
      <w:lvlJc w:val="left"/>
      <w:pPr>
        <w:ind w:left="6480" w:hanging="360"/>
      </w:pPr>
      <w:rPr>
        <w:rFonts w:ascii="Wingdings" w:hAnsi="Wingdings" w:hint="default"/>
      </w:rPr>
    </w:lvl>
  </w:abstractNum>
  <w:abstractNum w:abstractNumId="2" w15:restartNumberingAfterBreak="0">
    <w:nsid w:val="105D733E"/>
    <w:multiLevelType w:val="hybridMultilevel"/>
    <w:tmpl w:val="D5523180"/>
    <w:lvl w:ilvl="0" w:tplc="E9B8C40C">
      <w:start w:val="1"/>
      <w:numFmt w:val="bullet"/>
      <w:lvlText w:val=""/>
      <w:lvlJc w:val="left"/>
      <w:pPr>
        <w:ind w:left="720" w:hanging="360"/>
      </w:pPr>
      <w:rPr>
        <w:rFonts w:ascii="Symbol" w:hAnsi="Symbol" w:hint="default"/>
      </w:rPr>
    </w:lvl>
    <w:lvl w:ilvl="1" w:tplc="BD224C26" w:tentative="1">
      <w:start w:val="1"/>
      <w:numFmt w:val="bullet"/>
      <w:lvlText w:val="o"/>
      <w:lvlJc w:val="left"/>
      <w:pPr>
        <w:ind w:left="1440" w:hanging="360"/>
      </w:pPr>
      <w:rPr>
        <w:rFonts w:ascii="Courier New" w:hAnsi="Courier New" w:cs="Courier New" w:hint="default"/>
      </w:rPr>
    </w:lvl>
    <w:lvl w:ilvl="2" w:tplc="E3D063E8" w:tentative="1">
      <w:start w:val="1"/>
      <w:numFmt w:val="bullet"/>
      <w:lvlText w:val=""/>
      <w:lvlJc w:val="left"/>
      <w:pPr>
        <w:ind w:left="2160" w:hanging="360"/>
      </w:pPr>
      <w:rPr>
        <w:rFonts w:ascii="Wingdings" w:hAnsi="Wingdings" w:hint="default"/>
      </w:rPr>
    </w:lvl>
    <w:lvl w:ilvl="3" w:tplc="4A866B94" w:tentative="1">
      <w:start w:val="1"/>
      <w:numFmt w:val="bullet"/>
      <w:lvlText w:val=""/>
      <w:lvlJc w:val="left"/>
      <w:pPr>
        <w:ind w:left="2880" w:hanging="360"/>
      </w:pPr>
      <w:rPr>
        <w:rFonts w:ascii="Symbol" w:hAnsi="Symbol" w:hint="default"/>
      </w:rPr>
    </w:lvl>
    <w:lvl w:ilvl="4" w:tplc="96C22A54" w:tentative="1">
      <w:start w:val="1"/>
      <w:numFmt w:val="bullet"/>
      <w:lvlText w:val="o"/>
      <w:lvlJc w:val="left"/>
      <w:pPr>
        <w:ind w:left="3600" w:hanging="360"/>
      </w:pPr>
      <w:rPr>
        <w:rFonts w:ascii="Courier New" w:hAnsi="Courier New" w:cs="Courier New" w:hint="default"/>
      </w:rPr>
    </w:lvl>
    <w:lvl w:ilvl="5" w:tplc="523887A6" w:tentative="1">
      <w:start w:val="1"/>
      <w:numFmt w:val="bullet"/>
      <w:lvlText w:val=""/>
      <w:lvlJc w:val="left"/>
      <w:pPr>
        <w:ind w:left="4320" w:hanging="360"/>
      </w:pPr>
      <w:rPr>
        <w:rFonts w:ascii="Wingdings" w:hAnsi="Wingdings" w:hint="default"/>
      </w:rPr>
    </w:lvl>
    <w:lvl w:ilvl="6" w:tplc="5D82A496" w:tentative="1">
      <w:start w:val="1"/>
      <w:numFmt w:val="bullet"/>
      <w:lvlText w:val=""/>
      <w:lvlJc w:val="left"/>
      <w:pPr>
        <w:ind w:left="5040" w:hanging="360"/>
      </w:pPr>
      <w:rPr>
        <w:rFonts w:ascii="Symbol" w:hAnsi="Symbol" w:hint="default"/>
      </w:rPr>
    </w:lvl>
    <w:lvl w:ilvl="7" w:tplc="AAA4C7CA" w:tentative="1">
      <w:start w:val="1"/>
      <w:numFmt w:val="bullet"/>
      <w:lvlText w:val="o"/>
      <w:lvlJc w:val="left"/>
      <w:pPr>
        <w:ind w:left="5760" w:hanging="360"/>
      </w:pPr>
      <w:rPr>
        <w:rFonts w:ascii="Courier New" w:hAnsi="Courier New" w:cs="Courier New" w:hint="default"/>
      </w:rPr>
    </w:lvl>
    <w:lvl w:ilvl="8" w:tplc="049C339C" w:tentative="1">
      <w:start w:val="1"/>
      <w:numFmt w:val="bullet"/>
      <w:lvlText w:val=""/>
      <w:lvlJc w:val="left"/>
      <w:pPr>
        <w:ind w:left="6480" w:hanging="360"/>
      </w:pPr>
      <w:rPr>
        <w:rFonts w:ascii="Wingdings" w:hAnsi="Wingdings" w:hint="default"/>
      </w:rPr>
    </w:lvl>
  </w:abstractNum>
  <w:abstractNum w:abstractNumId="3" w15:restartNumberingAfterBreak="0">
    <w:nsid w:val="16667E91"/>
    <w:multiLevelType w:val="hybridMultilevel"/>
    <w:tmpl w:val="B986F95C"/>
    <w:lvl w:ilvl="0" w:tplc="C172D25E">
      <w:start w:val="1"/>
      <w:numFmt w:val="decimal"/>
      <w:lvlText w:val="%1."/>
      <w:lvlJc w:val="left"/>
      <w:pPr>
        <w:ind w:left="720" w:hanging="360"/>
      </w:pPr>
    </w:lvl>
    <w:lvl w:ilvl="1" w:tplc="11C627DA" w:tentative="1">
      <w:start w:val="1"/>
      <w:numFmt w:val="lowerLetter"/>
      <w:lvlText w:val="%2."/>
      <w:lvlJc w:val="left"/>
      <w:pPr>
        <w:ind w:left="1440" w:hanging="360"/>
      </w:pPr>
    </w:lvl>
    <w:lvl w:ilvl="2" w:tplc="56849894" w:tentative="1">
      <w:start w:val="1"/>
      <w:numFmt w:val="lowerRoman"/>
      <w:lvlText w:val="%3."/>
      <w:lvlJc w:val="right"/>
      <w:pPr>
        <w:ind w:left="2160" w:hanging="180"/>
      </w:pPr>
    </w:lvl>
    <w:lvl w:ilvl="3" w:tplc="E4D0A972" w:tentative="1">
      <w:start w:val="1"/>
      <w:numFmt w:val="decimal"/>
      <w:lvlText w:val="%4."/>
      <w:lvlJc w:val="left"/>
      <w:pPr>
        <w:ind w:left="2880" w:hanging="360"/>
      </w:pPr>
    </w:lvl>
    <w:lvl w:ilvl="4" w:tplc="24BCC2F6" w:tentative="1">
      <w:start w:val="1"/>
      <w:numFmt w:val="lowerLetter"/>
      <w:lvlText w:val="%5."/>
      <w:lvlJc w:val="left"/>
      <w:pPr>
        <w:ind w:left="3600" w:hanging="360"/>
      </w:pPr>
    </w:lvl>
    <w:lvl w:ilvl="5" w:tplc="12824DD0" w:tentative="1">
      <w:start w:val="1"/>
      <w:numFmt w:val="lowerRoman"/>
      <w:lvlText w:val="%6."/>
      <w:lvlJc w:val="right"/>
      <w:pPr>
        <w:ind w:left="4320" w:hanging="180"/>
      </w:pPr>
    </w:lvl>
    <w:lvl w:ilvl="6" w:tplc="921CAE8A" w:tentative="1">
      <w:start w:val="1"/>
      <w:numFmt w:val="decimal"/>
      <w:lvlText w:val="%7."/>
      <w:lvlJc w:val="left"/>
      <w:pPr>
        <w:ind w:left="5040" w:hanging="360"/>
      </w:pPr>
    </w:lvl>
    <w:lvl w:ilvl="7" w:tplc="70062AA6" w:tentative="1">
      <w:start w:val="1"/>
      <w:numFmt w:val="lowerLetter"/>
      <w:lvlText w:val="%8."/>
      <w:lvlJc w:val="left"/>
      <w:pPr>
        <w:ind w:left="5760" w:hanging="360"/>
      </w:pPr>
    </w:lvl>
    <w:lvl w:ilvl="8" w:tplc="722220EA" w:tentative="1">
      <w:start w:val="1"/>
      <w:numFmt w:val="lowerRoman"/>
      <w:lvlText w:val="%9."/>
      <w:lvlJc w:val="right"/>
      <w:pPr>
        <w:ind w:left="6480" w:hanging="180"/>
      </w:pPr>
    </w:lvl>
  </w:abstractNum>
  <w:abstractNum w:abstractNumId="4" w15:restartNumberingAfterBreak="0">
    <w:nsid w:val="2F73122A"/>
    <w:multiLevelType w:val="hybridMultilevel"/>
    <w:tmpl w:val="A552B70C"/>
    <w:lvl w:ilvl="0" w:tplc="088C1D82">
      <w:start w:val="1"/>
      <w:numFmt w:val="upperRoman"/>
      <w:lvlText w:val="%1."/>
      <w:lvlJc w:val="right"/>
      <w:pPr>
        <w:ind w:left="720" w:hanging="360"/>
      </w:pPr>
      <w:rPr>
        <w:rFonts w:hint="default"/>
      </w:rPr>
    </w:lvl>
    <w:lvl w:ilvl="1" w:tplc="6AAEF158">
      <w:start w:val="1"/>
      <w:numFmt w:val="upperLetter"/>
      <w:lvlText w:val="%2."/>
      <w:lvlJc w:val="left"/>
      <w:pPr>
        <w:ind w:left="1800" w:hanging="720"/>
      </w:pPr>
      <w:rPr>
        <w:rFonts w:hint="default"/>
      </w:rPr>
    </w:lvl>
    <w:lvl w:ilvl="2" w:tplc="75467108" w:tentative="1">
      <w:start w:val="1"/>
      <w:numFmt w:val="lowerRoman"/>
      <w:lvlText w:val="%3."/>
      <w:lvlJc w:val="right"/>
      <w:pPr>
        <w:ind w:left="2160" w:hanging="180"/>
      </w:pPr>
    </w:lvl>
    <w:lvl w:ilvl="3" w:tplc="AADA0848" w:tentative="1">
      <w:start w:val="1"/>
      <w:numFmt w:val="decimal"/>
      <w:lvlText w:val="%4."/>
      <w:lvlJc w:val="left"/>
      <w:pPr>
        <w:ind w:left="2880" w:hanging="360"/>
      </w:pPr>
    </w:lvl>
    <w:lvl w:ilvl="4" w:tplc="01DE0394" w:tentative="1">
      <w:start w:val="1"/>
      <w:numFmt w:val="lowerLetter"/>
      <w:lvlText w:val="%5."/>
      <w:lvlJc w:val="left"/>
      <w:pPr>
        <w:ind w:left="3600" w:hanging="360"/>
      </w:pPr>
    </w:lvl>
    <w:lvl w:ilvl="5" w:tplc="8962F3C6" w:tentative="1">
      <w:start w:val="1"/>
      <w:numFmt w:val="lowerRoman"/>
      <w:lvlText w:val="%6."/>
      <w:lvlJc w:val="right"/>
      <w:pPr>
        <w:ind w:left="4320" w:hanging="180"/>
      </w:pPr>
    </w:lvl>
    <w:lvl w:ilvl="6" w:tplc="8822ED12" w:tentative="1">
      <w:start w:val="1"/>
      <w:numFmt w:val="decimal"/>
      <w:lvlText w:val="%7."/>
      <w:lvlJc w:val="left"/>
      <w:pPr>
        <w:ind w:left="5040" w:hanging="360"/>
      </w:pPr>
    </w:lvl>
    <w:lvl w:ilvl="7" w:tplc="7BE2F756" w:tentative="1">
      <w:start w:val="1"/>
      <w:numFmt w:val="lowerLetter"/>
      <w:lvlText w:val="%8."/>
      <w:lvlJc w:val="left"/>
      <w:pPr>
        <w:ind w:left="5760" w:hanging="360"/>
      </w:pPr>
    </w:lvl>
    <w:lvl w:ilvl="8" w:tplc="542CABE0" w:tentative="1">
      <w:start w:val="1"/>
      <w:numFmt w:val="lowerRoman"/>
      <w:lvlText w:val="%9."/>
      <w:lvlJc w:val="right"/>
      <w:pPr>
        <w:ind w:left="6480" w:hanging="180"/>
      </w:pPr>
    </w:lvl>
  </w:abstractNum>
  <w:abstractNum w:abstractNumId="5" w15:restartNumberingAfterBreak="0">
    <w:nsid w:val="31373CEE"/>
    <w:multiLevelType w:val="hybridMultilevel"/>
    <w:tmpl w:val="48320204"/>
    <w:lvl w:ilvl="0" w:tplc="F3BAE5EA">
      <w:start w:val="1"/>
      <w:numFmt w:val="decimal"/>
      <w:lvlText w:val="%1."/>
      <w:lvlJc w:val="left"/>
      <w:pPr>
        <w:ind w:left="720" w:hanging="360"/>
      </w:pPr>
    </w:lvl>
    <w:lvl w:ilvl="1" w:tplc="CF102318" w:tentative="1">
      <w:start w:val="1"/>
      <w:numFmt w:val="lowerLetter"/>
      <w:lvlText w:val="%2."/>
      <w:lvlJc w:val="left"/>
      <w:pPr>
        <w:ind w:left="1440" w:hanging="360"/>
      </w:pPr>
    </w:lvl>
    <w:lvl w:ilvl="2" w:tplc="CA3620DC" w:tentative="1">
      <w:start w:val="1"/>
      <w:numFmt w:val="lowerRoman"/>
      <w:lvlText w:val="%3."/>
      <w:lvlJc w:val="right"/>
      <w:pPr>
        <w:ind w:left="2160" w:hanging="180"/>
      </w:pPr>
    </w:lvl>
    <w:lvl w:ilvl="3" w:tplc="E750657C" w:tentative="1">
      <w:start w:val="1"/>
      <w:numFmt w:val="decimal"/>
      <w:lvlText w:val="%4."/>
      <w:lvlJc w:val="left"/>
      <w:pPr>
        <w:ind w:left="2880" w:hanging="360"/>
      </w:pPr>
    </w:lvl>
    <w:lvl w:ilvl="4" w:tplc="E2AEBF02" w:tentative="1">
      <w:start w:val="1"/>
      <w:numFmt w:val="lowerLetter"/>
      <w:lvlText w:val="%5."/>
      <w:lvlJc w:val="left"/>
      <w:pPr>
        <w:ind w:left="3600" w:hanging="360"/>
      </w:pPr>
    </w:lvl>
    <w:lvl w:ilvl="5" w:tplc="5F9E8C38" w:tentative="1">
      <w:start w:val="1"/>
      <w:numFmt w:val="lowerRoman"/>
      <w:lvlText w:val="%6."/>
      <w:lvlJc w:val="right"/>
      <w:pPr>
        <w:ind w:left="4320" w:hanging="180"/>
      </w:pPr>
    </w:lvl>
    <w:lvl w:ilvl="6" w:tplc="ADEE23C2" w:tentative="1">
      <w:start w:val="1"/>
      <w:numFmt w:val="decimal"/>
      <w:lvlText w:val="%7."/>
      <w:lvlJc w:val="left"/>
      <w:pPr>
        <w:ind w:left="5040" w:hanging="360"/>
      </w:pPr>
    </w:lvl>
    <w:lvl w:ilvl="7" w:tplc="2280D19E" w:tentative="1">
      <w:start w:val="1"/>
      <w:numFmt w:val="lowerLetter"/>
      <w:lvlText w:val="%8."/>
      <w:lvlJc w:val="left"/>
      <w:pPr>
        <w:ind w:left="5760" w:hanging="360"/>
      </w:pPr>
    </w:lvl>
    <w:lvl w:ilvl="8" w:tplc="1C24EABE" w:tentative="1">
      <w:start w:val="1"/>
      <w:numFmt w:val="lowerRoman"/>
      <w:lvlText w:val="%9."/>
      <w:lvlJc w:val="right"/>
      <w:pPr>
        <w:ind w:left="6480" w:hanging="180"/>
      </w:pPr>
    </w:lvl>
  </w:abstractNum>
  <w:abstractNum w:abstractNumId="6" w15:restartNumberingAfterBreak="0">
    <w:nsid w:val="553C240A"/>
    <w:multiLevelType w:val="hybridMultilevel"/>
    <w:tmpl w:val="89CA7170"/>
    <w:lvl w:ilvl="0" w:tplc="FBBCE8D6">
      <w:start w:val="1"/>
      <w:numFmt w:val="bullet"/>
      <w:lvlText w:val=""/>
      <w:lvlJc w:val="left"/>
      <w:pPr>
        <w:ind w:left="720" w:hanging="360"/>
      </w:pPr>
      <w:rPr>
        <w:rFonts w:ascii="Wingdings" w:hAnsi="Wingdings" w:hint="default"/>
      </w:rPr>
    </w:lvl>
    <w:lvl w:ilvl="1" w:tplc="FE7EC068" w:tentative="1">
      <w:start w:val="1"/>
      <w:numFmt w:val="bullet"/>
      <w:lvlText w:val="o"/>
      <w:lvlJc w:val="left"/>
      <w:pPr>
        <w:ind w:left="1440" w:hanging="360"/>
      </w:pPr>
      <w:rPr>
        <w:rFonts w:ascii="Courier New" w:hAnsi="Courier New" w:cs="Courier New" w:hint="default"/>
      </w:rPr>
    </w:lvl>
    <w:lvl w:ilvl="2" w:tplc="E22E7B4E" w:tentative="1">
      <w:start w:val="1"/>
      <w:numFmt w:val="bullet"/>
      <w:lvlText w:val=""/>
      <w:lvlJc w:val="left"/>
      <w:pPr>
        <w:ind w:left="2160" w:hanging="360"/>
      </w:pPr>
      <w:rPr>
        <w:rFonts w:ascii="Wingdings" w:hAnsi="Wingdings" w:hint="default"/>
      </w:rPr>
    </w:lvl>
    <w:lvl w:ilvl="3" w:tplc="C9D0D266" w:tentative="1">
      <w:start w:val="1"/>
      <w:numFmt w:val="bullet"/>
      <w:lvlText w:val=""/>
      <w:lvlJc w:val="left"/>
      <w:pPr>
        <w:ind w:left="2880" w:hanging="360"/>
      </w:pPr>
      <w:rPr>
        <w:rFonts w:ascii="Symbol" w:hAnsi="Symbol" w:hint="default"/>
      </w:rPr>
    </w:lvl>
    <w:lvl w:ilvl="4" w:tplc="452E500E" w:tentative="1">
      <w:start w:val="1"/>
      <w:numFmt w:val="bullet"/>
      <w:lvlText w:val="o"/>
      <w:lvlJc w:val="left"/>
      <w:pPr>
        <w:ind w:left="3600" w:hanging="360"/>
      </w:pPr>
      <w:rPr>
        <w:rFonts w:ascii="Courier New" w:hAnsi="Courier New" w:cs="Courier New" w:hint="default"/>
      </w:rPr>
    </w:lvl>
    <w:lvl w:ilvl="5" w:tplc="A2121656" w:tentative="1">
      <w:start w:val="1"/>
      <w:numFmt w:val="bullet"/>
      <w:lvlText w:val=""/>
      <w:lvlJc w:val="left"/>
      <w:pPr>
        <w:ind w:left="4320" w:hanging="360"/>
      </w:pPr>
      <w:rPr>
        <w:rFonts w:ascii="Wingdings" w:hAnsi="Wingdings" w:hint="default"/>
      </w:rPr>
    </w:lvl>
    <w:lvl w:ilvl="6" w:tplc="3C7CD5A0" w:tentative="1">
      <w:start w:val="1"/>
      <w:numFmt w:val="bullet"/>
      <w:lvlText w:val=""/>
      <w:lvlJc w:val="left"/>
      <w:pPr>
        <w:ind w:left="5040" w:hanging="360"/>
      </w:pPr>
      <w:rPr>
        <w:rFonts w:ascii="Symbol" w:hAnsi="Symbol" w:hint="default"/>
      </w:rPr>
    </w:lvl>
    <w:lvl w:ilvl="7" w:tplc="0A1AE2AE" w:tentative="1">
      <w:start w:val="1"/>
      <w:numFmt w:val="bullet"/>
      <w:lvlText w:val="o"/>
      <w:lvlJc w:val="left"/>
      <w:pPr>
        <w:ind w:left="5760" w:hanging="360"/>
      </w:pPr>
      <w:rPr>
        <w:rFonts w:ascii="Courier New" w:hAnsi="Courier New" w:cs="Courier New" w:hint="default"/>
      </w:rPr>
    </w:lvl>
    <w:lvl w:ilvl="8" w:tplc="E40E7494" w:tentative="1">
      <w:start w:val="1"/>
      <w:numFmt w:val="bullet"/>
      <w:lvlText w:val=""/>
      <w:lvlJc w:val="left"/>
      <w:pPr>
        <w:ind w:left="6480" w:hanging="360"/>
      </w:pPr>
      <w:rPr>
        <w:rFonts w:ascii="Wingdings" w:hAnsi="Wingdings" w:hint="default"/>
      </w:rPr>
    </w:lvl>
  </w:abstractNum>
  <w:abstractNum w:abstractNumId="7" w15:restartNumberingAfterBreak="0">
    <w:nsid w:val="728C3F6B"/>
    <w:multiLevelType w:val="hybridMultilevel"/>
    <w:tmpl w:val="D2B4EB04"/>
    <w:lvl w:ilvl="0" w:tplc="FB9C3DEC">
      <w:start w:val="1"/>
      <w:numFmt w:val="decimal"/>
      <w:lvlText w:val="%1."/>
      <w:lvlJc w:val="left"/>
      <w:pPr>
        <w:ind w:left="720" w:hanging="360"/>
      </w:pPr>
    </w:lvl>
    <w:lvl w:ilvl="1" w:tplc="E9B6B2B2" w:tentative="1">
      <w:start w:val="1"/>
      <w:numFmt w:val="lowerLetter"/>
      <w:lvlText w:val="%2."/>
      <w:lvlJc w:val="left"/>
      <w:pPr>
        <w:ind w:left="1440" w:hanging="360"/>
      </w:pPr>
    </w:lvl>
    <w:lvl w:ilvl="2" w:tplc="C43CECC0" w:tentative="1">
      <w:start w:val="1"/>
      <w:numFmt w:val="lowerRoman"/>
      <w:lvlText w:val="%3."/>
      <w:lvlJc w:val="right"/>
      <w:pPr>
        <w:ind w:left="2160" w:hanging="180"/>
      </w:pPr>
    </w:lvl>
    <w:lvl w:ilvl="3" w:tplc="08FAD716" w:tentative="1">
      <w:start w:val="1"/>
      <w:numFmt w:val="decimal"/>
      <w:lvlText w:val="%4."/>
      <w:lvlJc w:val="left"/>
      <w:pPr>
        <w:ind w:left="2880" w:hanging="360"/>
      </w:pPr>
    </w:lvl>
    <w:lvl w:ilvl="4" w:tplc="F47E2A88" w:tentative="1">
      <w:start w:val="1"/>
      <w:numFmt w:val="lowerLetter"/>
      <w:lvlText w:val="%5."/>
      <w:lvlJc w:val="left"/>
      <w:pPr>
        <w:ind w:left="3600" w:hanging="360"/>
      </w:pPr>
    </w:lvl>
    <w:lvl w:ilvl="5" w:tplc="EFAC2544" w:tentative="1">
      <w:start w:val="1"/>
      <w:numFmt w:val="lowerRoman"/>
      <w:lvlText w:val="%6."/>
      <w:lvlJc w:val="right"/>
      <w:pPr>
        <w:ind w:left="4320" w:hanging="180"/>
      </w:pPr>
    </w:lvl>
    <w:lvl w:ilvl="6" w:tplc="00FAEBF2" w:tentative="1">
      <w:start w:val="1"/>
      <w:numFmt w:val="decimal"/>
      <w:lvlText w:val="%7."/>
      <w:lvlJc w:val="left"/>
      <w:pPr>
        <w:ind w:left="5040" w:hanging="360"/>
      </w:pPr>
    </w:lvl>
    <w:lvl w:ilvl="7" w:tplc="350EBB62" w:tentative="1">
      <w:start w:val="1"/>
      <w:numFmt w:val="lowerLetter"/>
      <w:lvlText w:val="%8."/>
      <w:lvlJc w:val="left"/>
      <w:pPr>
        <w:ind w:left="5760" w:hanging="360"/>
      </w:pPr>
    </w:lvl>
    <w:lvl w:ilvl="8" w:tplc="46ACB8E6" w:tentative="1">
      <w:start w:val="1"/>
      <w:numFmt w:val="lowerRoman"/>
      <w:lvlText w:val="%9."/>
      <w:lvlJc w:val="right"/>
      <w:pPr>
        <w:ind w:left="6480" w:hanging="180"/>
      </w:pPr>
    </w:lvl>
  </w:abstractNum>
  <w:abstractNum w:abstractNumId="8" w15:restartNumberingAfterBreak="0">
    <w:nsid w:val="7D4879AC"/>
    <w:multiLevelType w:val="hybridMultilevel"/>
    <w:tmpl w:val="3A56413C"/>
    <w:lvl w:ilvl="0" w:tplc="7FCE7652">
      <w:start w:val="1"/>
      <w:numFmt w:val="bullet"/>
      <w:lvlText w:val=""/>
      <w:lvlJc w:val="left"/>
      <w:pPr>
        <w:ind w:left="720" w:hanging="360"/>
      </w:pPr>
      <w:rPr>
        <w:rFonts w:ascii="Wingdings" w:hAnsi="Wingdings" w:hint="default"/>
      </w:rPr>
    </w:lvl>
    <w:lvl w:ilvl="1" w:tplc="A518F4A2" w:tentative="1">
      <w:start w:val="1"/>
      <w:numFmt w:val="bullet"/>
      <w:lvlText w:val="o"/>
      <w:lvlJc w:val="left"/>
      <w:pPr>
        <w:ind w:left="1440" w:hanging="360"/>
      </w:pPr>
      <w:rPr>
        <w:rFonts w:ascii="Courier New" w:hAnsi="Courier New" w:cs="Courier New" w:hint="default"/>
      </w:rPr>
    </w:lvl>
    <w:lvl w:ilvl="2" w:tplc="73B08530" w:tentative="1">
      <w:start w:val="1"/>
      <w:numFmt w:val="bullet"/>
      <w:lvlText w:val=""/>
      <w:lvlJc w:val="left"/>
      <w:pPr>
        <w:ind w:left="2160" w:hanging="360"/>
      </w:pPr>
      <w:rPr>
        <w:rFonts w:ascii="Wingdings" w:hAnsi="Wingdings" w:hint="default"/>
      </w:rPr>
    </w:lvl>
    <w:lvl w:ilvl="3" w:tplc="E2546F62" w:tentative="1">
      <w:start w:val="1"/>
      <w:numFmt w:val="bullet"/>
      <w:lvlText w:val=""/>
      <w:lvlJc w:val="left"/>
      <w:pPr>
        <w:ind w:left="2880" w:hanging="360"/>
      </w:pPr>
      <w:rPr>
        <w:rFonts w:ascii="Symbol" w:hAnsi="Symbol" w:hint="default"/>
      </w:rPr>
    </w:lvl>
    <w:lvl w:ilvl="4" w:tplc="77043F48" w:tentative="1">
      <w:start w:val="1"/>
      <w:numFmt w:val="bullet"/>
      <w:lvlText w:val="o"/>
      <w:lvlJc w:val="left"/>
      <w:pPr>
        <w:ind w:left="3600" w:hanging="360"/>
      </w:pPr>
      <w:rPr>
        <w:rFonts w:ascii="Courier New" w:hAnsi="Courier New" w:cs="Courier New" w:hint="default"/>
      </w:rPr>
    </w:lvl>
    <w:lvl w:ilvl="5" w:tplc="3A90185E" w:tentative="1">
      <w:start w:val="1"/>
      <w:numFmt w:val="bullet"/>
      <w:lvlText w:val=""/>
      <w:lvlJc w:val="left"/>
      <w:pPr>
        <w:ind w:left="4320" w:hanging="360"/>
      </w:pPr>
      <w:rPr>
        <w:rFonts w:ascii="Wingdings" w:hAnsi="Wingdings" w:hint="default"/>
      </w:rPr>
    </w:lvl>
    <w:lvl w:ilvl="6" w:tplc="18B2C056" w:tentative="1">
      <w:start w:val="1"/>
      <w:numFmt w:val="bullet"/>
      <w:lvlText w:val=""/>
      <w:lvlJc w:val="left"/>
      <w:pPr>
        <w:ind w:left="5040" w:hanging="360"/>
      </w:pPr>
      <w:rPr>
        <w:rFonts w:ascii="Symbol" w:hAnsi="Symbol" w:hint="default"/>
      </w:rPr>
    </w:lvl>
    <w:lvl w:ilvl="7" w:tplc="5328A372" w:tentative="1">
      <w:start w:val="1"/>
      <w:numFmt w:val="bullet"/>
      <w:lvlText w:val="o"/>
      <w:lvlJc w:val="left"/>
      <w:pPr>
        <w:ind w:left="5760" w:hanging="360"/>
      </w:pPr>
      <w:rPr>
        <w:rFonts w:ascii="Courier New" w:hAnsi="Courier New" w:cs="Courier New" w:hint="default"/>
      </w:rPr>
    </w:lvl>
    <w:lvl w:ilvl="8" w:tplc="BE3A3D64"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6798"/>
    <w:rsid w:val="00113454"/>
    <w:rsid w:val="006C37C7"/>
    <w:rsid w:val="00734327"/>
    <w:rsid w:val="00A96753"/>
    <w:rsid w:val="00BB6798"/>
    <w:rsid w:val="00BF790C"/>
    <w:rsid w:val="00DE38D2"/>
    <w:rsid w:val="00F60E32"/>
    <w:rsid w:val="00FC1A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2BE4849"/>
  <w15:docId w15:val="{A6670173-116E-4CD8-B265-D811AC7D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798"/>
    <w:pPr>
      <w:tabs>
        <w:tab w:val="center" w:pos="4513"/>
        <w:tab w:val="right" w:pos="9026"/>
      </w:tabs>
    </w:pPr>
  </w:style>
  <w:style w:type="character" w:customStyle="1" w:styleId="HeaderChar">
    <w:name w:val="Header Char"/>
    <w:basedOn w:val="DefaultParagraphFont"/>
    <w:link w:val="Header"/>
    <w:uiPriority w:val="99"/>
    <w:rsid w:val="00BB6798"/>
  </w:style>
  <w:style w:type="paragraph" w:styleId="Footer">
    <w:name w:val="footer"/>
    <w:basedOn w:val="Normal"/>
    <w:link w:val="FooterChar"/>
    <w:uiPriority w:val="99"/>
    <w:unhideWhenUsed/>
    <w:rsid w:val="00BB6798"/>
    <w:pPr>
      <w:tabs>
        <w:tab w:val="center" w:pos="4513"/>
        <w:tab w:val="right" w:pos="9026"/>
      </w:tabs>
    </w:pPr>
  </w:style>
  <w:style w:type="character" w:customStyle="1" w:styleId="FooterChar">
    <w:name w:val="Footer Char"/>
    <w:basedOn w:val="DefaultParagraphFont"/>
    <w:link w:val="Footer"/>
    <w:uiPriority w:val="99"/>
    <w:rsid w:val="00BB6798"/>
  </w:style>
  <w:style w:type="table" w:styleId="TableGrid">
    <w:name w:val="Table Grid"/>
    <w:basedOn w:val="TableNormal"/>
    <w:uiPriority w:val="39"/>
    <w:rsid w:val="00BB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798"/>
    <w:pPr>
      <w:ind w:left="720"/>
      <w:contextualSpacing/>
    </w:pPr>
  </w:style>
  <w:style w:type="character" w:styleId="Hyperlink">
    <w:name w:val="Hyperlink"/>
    <w:rsid w:val="00BB6798"/>
    <w:rPr>
      <w:color w:val="0000FF"/>
      <w:u w:val="single"/>
      <w:lang w:val="el-GR" w:eastAsia="el-GR"/>
    </w:rPr>
  </w:style>
  <w:style w:type="paragraph" w:styleId="BalloonText">
    <w:name w:val="Balloon Text"/>
    <w:basedOn w:val="Normal"/>
    <w:link w:val="BalloonTextChar"/>
    <w:uiPriority w:val="99"/>
    <w:semiHidden/>
    <w:unhideWhenUsed/>
    <w:rsid w:val="00113454"/>
    <w:rPr>
      <w:rFonts w:ascii="Tahoma" w:hAnsi="Tahoma" w:cs="Tahoma"/>
      <w:sz w:val="16"/>
      <w:szCs w:val="16"/>
    </w:rPr>
  </w:style>
  <w:style w:type="character" w:customStyle="1" w:styleId="BalloonTextChar">
    <w:name w:val="Balloon Text Char"/>
    <w:basedOn w:val="DefaultParagraphFont"/>
    <w:link w:val="BalloonText"/>
    <w:uiPriority w:val="99"/>
    <w:semiHidden/>
    <w:rsid w:val="00113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psi.eu/good-practice-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psi.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nepsidata.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epsi.eu/agre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Links>
    <vt:vector size="24" baseType="variant">
      <vt:variant>
        <vt:i4>7733317</vt:i4>
      </vt:variant>
      <vt:variant>
        <vt:i4>9</vt:i4>
      </vt:variant>
      <vt:variant>
        <vt:i4>0</vt:i4>
      </vt:variant>
      <vt:variant>
        <vt:i4>5</vt:i4>
      </vt:variant>
      <vt:variant>
        <vt:lpwstr>mailto:helpdesk@nepsidata.com</vt:lpwstr>
      </vt:variant>
      <vt:variant>
        <vt:lpwstr/>
      </vt:variant>
      <vt:variant>
        <vt:i4>6422652</vt:i4>
      </vt:variant>
      <vt:variant>
        <vt:i4>6</vt:i4>
      </vt:variant>
      <vt:variant>
        <vt:i4>0</vt:i4>
      </vt:variant>
      <vt:variant>
        <vt:i4>5</vt:i4>
      </vt:variant>
      <vt:variant>
        <vt:lpwstr>https://www.nepsi.eu/agreement</vt:lpwstr>
      </vt:variant>
      <vt:variant>
        <vt:lpwstr/>
      </vt:variant>
      <vt:variant>
        <vt:i4>5636172</vt:i4>
      </vt:variant>
      <vt:variant>
        <vt:i4>3</vt:i4>
      </vt:variant>
      <vt:variant>
        <vt:i4>0</vt:i4>
      </vt:variant>
      <vt:variant>
        <vt:i4>5</vt:i4>
      </vt:variant>
      <vt:variant>
        <vt:lpwstr>https://www.nepsi.eu/good-practice-guide</vt:lpwstr>
      </vt:variant>
      <vt:variant>
        <vt:lpwstr/>
      </vt:variant>
      <vt:variant>
        <vt:i4>1441821</vt:i4>
      </vt:variant>
      <vt:variant>
        <vt:i4>0</vt:i4>
      </vt:variant>
      <vt:variant>
        <vt:i4>0</vt:i4>
      </vt:variant>
      <vt:variant>
        <vt:i4>5</vt:i4>
      </vt:variant>
      <vt:variant>
        <vt:lpwstr>http://www.nepsi.eu/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Susljic</dc:creator>
  <cp:lastModifiedBy>Antigoni Effraimidou</cp:lastModifiedBy>
  <cp:revision>8</cp:revision>
  <dcterms:created xsi:type="dcterms:W3CDTF">2020-01-10T15:14:00Z</dcterms:created>
  <dcterms:modified xsi:type="dcterms:W3CDTF">2020-01-20T08:43:00Z</dcterms:modified>
</cp:coreProperties>
</file>