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08FBB" w14:textId="77777777" w:rsidR="00DE744D" w:rsidRDefault="00F66AE8" w:rsidP="00A41404">
      <w:pPr>
        <w:jc w:val="both"/>
      </w:pPr>
    </w:p>
    <w:p w14:paraId="06D6DCF7" w14:textId="77777777" w:rsidR="002F589D" w:rsidRDefault="002F589D" w:rsidP="00A41404">
      <w:pPr>
        <w:jc w:val="both"/>
      </w:pPr>
    </w:p>
    <w:tbl>
      <w:tblPr>
        <w:tblW w:w="0" w:type="auto"/>
        <w:tblBorders>
          <w:top w:val="single" w:sz="4" w:space="0" w:color="auto"/>
          <w:bottom w:val="single" w:sz="4" w:space="0" w:color="auto"/>
        </w:tblBorders>
        <w:tblLook w:val="04A0" w:firstRow="1" w:lastRow="0" w:firstColumn="1" w:lastColumn="0" w:noHBand="0" w:noVBand="1"/>
      </w:tblPr>
      <w:tblGrid>
        <w:gridCol w:w="9016"/>
      </w:tblGrid>
      <w:tr w:rsidR="002F589D" w:rsidRPr="009B5B2F" w14:paraId="0EC6A51F" w14:textId="77777777" w:rsidTr="003D6FF0">
        <w:tc>
          <w:tcPr>
            <w:tcW w:w="9016" w:type="dxa"/>
            <w:tcBorders>
              <w:top w:val="single" w:sz="4" w:space="0" w:color="4472C4"/>
              <w:bottom w:val="single" w:sz="4" w:space="0" w:color="4472C4"/>
            </w:tcBorders>
            <w:shd w:val="clear" w:color="auto" w:fill="D9E2F3"/>
          </w:tcPr>
          <w:p w14:paraId="7BE7B603" w14:textId="77777777" w:rsidR="002F589D" w:rsidRDefault="00166DEA" w:rsidP="00A41404">
            <w:pPr>
              <w:jc w:val="center"/>
              <w:rPr>
                <w:rFonts w:ascii="Trebuchet MS" w:hAnsi="Trebuchet MS"/>
                <w:b/>
                <w:color w:val="209DFA"/>
                <w:sz w:val="28"/>
                <w:szCs w:val="28"/>
              </w:rPr>
            </w:pPr>
            <w:r>
              <w:rPr>
                <w:rFonts w:ascii="Trebuchet MS" w:hAnsi="Trebuchet MS"/>
                <w:b/>
                <w:color w:val="209DFA"/>
                <w:sz w:val="28"/>
              </w:rPr>
              <w:t>Οδηγία για την υποβολή αναφοράς στο πλαίσιο της Σύμβασης Κοινωνικού Διαλόγου για το κρυσταλλικό πυριτικού</w:t>
            </w:r>
          </w:p>
          <w:p w14:paraId="033E7978" w14:textId="77777777" w:rsidR="002F589D" w:rsidRPr="009B5B2F" w:rsidRDefault="00166DEA" w:rsidP="00A41404">
            <w:pPr>
              <w:jc w:val="center"/>
              <w:rPr>
                <w:rFonts w:ascii="Trebuchet MS" w:hAnsi="Trebuchet MS"/>
                <w:b/>
                <w:color w:val="209DFA"/>
                <w:sz w:val="28"/>
                <w:szCs w:val="28"/>
              </w:rPr>
            </w:pPr>
            <w:r>
              <w:rPr>
                <w:rFonts w:ascii="Trebuchet MS" w:hAnsi="Trebuchet MS"/>
                <w:b/>
                <w:color w:val="209DFA"/>
                <w:sz w:val="28"/>
              </w:rPr>
              <w:t>Επίπεδο Ευρωπαϊκού Συνδέσμου και επίπεδο Εθνικού Συνδέσμου</w:t>
            </w:r>
          </w:p>
        </w:tc>
      </w:tr>
    </w:tbl>
    <w:p w14:paraId="75B95666" w14:textId="77777777" w:rsidR="002F589D" w:rsidRDefault="002F589D" w:rsidP="00A41404">
      <w:pPr>
        <w:jc w:val="both"/>
      </w:pPr>
    </w:p>
    <w:p w14:paraId="62348A7A" w14:textId="77777777" w:rsidR="002F589D" w:rsidRPr="002F589D" w:rsidRDefault="00166DEA" w:rsidP="00A41404">
      <w:pPr>
        <w:pStyle w:val="ListParagraph"/>
        <w:numPr>
          <w:ilvl w:val="0"/>
          <w:numId w:val="1"/>
        </w:numPr>
        <w:jc w:val="both"/>
        <w:rPr>
          <w:b/>
          <w:bCs/>
        </w:rPr>
      </w:pPr>
      <w:r>
        <w:rPr>
          <w:b/>
        </w:rPr>
        <w:t>Εισαγωγή σχετικά με τη NEPSI και την υποβολή αναφορών της</w:t>
      </w:r>
    </w:p>
    <w:p w14:paraId="14B15B3D" w14:textId="77777777" w:rsidR="002F589D" w:rsidRDefault="002F589D" w:rsidP="00A41404">
      <w:pPr>
        <w:jc w:val="both"/>
      </w:pPr>
    </w:p>
    <w:p w14:paraId="730602BB" w14:textId="77777777" w:rsidR="002F589D" w:rsidRDefault="00166DEA" w:rsidP="00A41404">
      <w:pPr>
        <w:jc w:val="both"/>
      </w:pPr>
      <w:r>
        <w:t xml:space="preserve">Η ευρωπαϊκή «Σύμβαση Κοινωνικού Διαλόγου σχετικά με την προστασία της υγείας των εργαζομένων μέσω της ορθής διαχείρισης και χρήσης του κρυσταλλικού πυριτικού και των προϊόντων που το περιέχουν» (Σύμβαση SDA) υπεγράφη τον Απρίλιο του 2006 από τους αντιπροσώπους, σε ευρωπαϊκό επίπεδο, των εργοδοτών και των εργαζομένων 14 βιομηχανικών κλάδων: Αδρανή υλικά, τσιμέντο, κεραμικά, χυτήρια, βιομηχανίες υάλου - γυάλινα προϊόντα συσκευασίας, υαλοπίνακες και ειδικά προϊόντα από γυαλί - βιομηχανία βιομηχανικών ορυκτών και μεταλλικών ορυκτών, ορυκτοβάμβακας, διακοσμητικά πετρώματα, κονιάματα και προχυτευμένο σκυρόδεμα. Από το 2006, πέραν των 14 βιομηχανικών κλάδων, εντάχθηκαν στη Σύμβαση Κοινωνικού Διαλόγου και οι κλάδοι των παραγωγών διογκωμένης αργίλου, συσσωματωμένων λίθων, προαναμεμιγμένου σκυροδέματος και πυριτικού ασβεστίου. Από το 2019 η Σύμβαση εκπροσωπείται από 19 υπογράφοντες. Περισσότερα σχετικά με τη NEPSI: </w:t>
      </w:r>
      <w:hyperlink r:id="rId7" w:history="1">
        <w:r>
          <w:rPr>
            <w:rStyle w:val="Hyperlink"/>
          </w:rPr>
          <w:t>www.nepsi.eu</w:t>
        </w:r>
      </w:hyperlink>
      <w:r>
        <w:t>.</w:t>
      </w:r>
    </w:p>
    <w:p w14:paraId="48A3BC64" w14:textId="77777777" w:rsidR="002F589D" w:rsidRDefault="002F589D" w:rsidP="00A41404">
      <w:pPr>
        <w:jc w:val="both"/>
      </w:pPr>
    </w:p>
    <w:p w14:paraId="4C7F16ED" w14:textId="77777777" w:rsidR="002F589D" w:rsidRDefault="00166DEA" w:rsidP="00A41404">
      <w:pPr>
        <w:jc w:val="both"/>
      </w:pPr>
      <w:r>
        <w:t>Οι υπογράφοντες (18 Σύνδεσμοι Εργοδοτών και 1 Ομοσπονδία Σωματείων) συμφώνησαν για τη συλλογή ποσοτικών πληροφοριών εφαρμογής της Σύμβασης κάθε δύο έτη σε κάθε έναν κλάδο που αντιπροσωπεύεται. Η πρώτη συλλογή πληροφοριών πραγματοποιήθηκε το 2008.</w:t>
      </w:r>
    </w:p>
    <w:p w14:paraId="429F70B1" w14:textId="77777777" w:rsidR="002F589D" w:rsidRDefault="002F589D" w:rsidP="00A41404">
      <w:pPr>
        <w:jc w:val="both"/>
      </w:pPr>
    </w:p>
    <w:p w14:paraId="79B31408" w14:textId="77777777" w:rsidR="002F589D" w:rsidRDefault="00166DEA" w:rsidP="00A41404">
      <w:pPr>
        <w:jc w:val="both"/>
      </w:pPr>
      <w:r>
        <w:t xml:space="preserve">Το ηλεκτρονικό σύστημα υποβολής αναφοράς επιτρέπει να καλούνται οι υπογράφουσες εταιρείες και εγκαταστάσεις να παρέχουν πληροφορίες για Κύριους Δείκτες Απόδοσης (ΚΡΙ) σχετικά με τη </w:t>
      </w:r>
      <w:hyperlink r:id="rId8" w:history="1">
        <w:r>
          <w:rPr>
            <w:rStyle w:val="Hyperlink"/>
          </w:rPr>
          <w:t>NEPSI</w:t>
        </w:r>
      </w:hyperlink>
      <w:r>
        <w:t xml:space="preserve"> σε επτά διαφορετικές ενότητες. Από τα δεδομένα που καταχωρούνται στο σύστημα, υπολογίζεται αυτόματα μια σειρά ΚΡΙ, για παράδειγμα το ποσοστό των εργαζομένων που δυνητικά εκτίθενται σε αναπνεύσιμο κρυσταλλικό πυριτικό (RCS) και καλύπτονται από τη </w:t>
      </w:r>
      <w:hyperlink r:id="rId9" w:history="1">
        <w:r>
          <w:rPr>
            <w:rStyle w:val="Hyperlink"/>
          </w:rPr>
          <w:t>Σύμβαση</w:t>
        </w:r>
      </w:hyperlink>
      <w:r>
        <w:t>.</w:t>
      </w:r>
    </w:p>
    <w:p w14:paraId="66148006" w14:textId="77777777" w:rsidR="002F589D" w:rsidRDefault="002F589D" w:rsidP="00A41404">
      <w:pPr>
        <w:jc w:val="both"/>
      </w:pPr>
    </w:p>
    <w:p w14:paraId="3B804F9B" w14:textId="77777777" w:rsidR="002F589D" w:rsidRPr="002F589D" w:rsidRDefault="00166DEA" w:rsidP="00A41404">
      <w:pPr>
        <w:pStyle w:val="ListParagraph"/>
        <w:numPr>
          <w:ilvl w:val="0"/>
          <w:numId w:val="1"/>
        </w:numPr>
        <w:jc w:val="both"/>
        <w:rPr>
          <w:b/>
          <w:bCs/>
        </w:rPr>
      </w:pPr>
      <w:r>
        <w:rPr>
          <w:b/>
        </w:rPr>
        <w:t>Δομή αναφοράς</w:t>
      </w:r>
    </w:p>
    <w:p w14:paraId="447AB697" w14:textId="77777777" w:rsidR="002F589D" w:rsidRDefault="002F589D" w:rsidP="00A41404">
      <w:pPr>
        <w:jc w:val="both"/>
      </w:pPr>
    </w:p>
    <w:p w14:paraId="32BB8B0F" w14:textId="77777777" w:rsidR="002F589D" w:rsidRDefault="00166DEA" w:rsidP="00A41404">
      <w:pPr>
        <w:jc w:val="both"/>
      </w:pPr>
      <w:r>
        <w:t>Το ηλεκτρονικό σύστημα υποβολής αναφοράς επιτρέπει στον χρήστη να υποβάλλει αναφορά σε διαφορετικά επίπεδα. Τα επίπεδα είναι τα εξής:</w:t>
      </w:r>
    </w:p>
    <w:p w14:paraId="5FD28DDF" w14:textId="77777777" w:rsidR="002F589D" w:rsidRDefault="002F589D" w:rsidP="00A41404">
      <w:pPr>
        <w:jc w:val="both"/>
      </w:pPr>
    </w:p>
    <w:p w14:paraId="2B999288" w14:textId="77777777" w:rsidR="002F589D" w:rsidRDefault="00F66AE8" w:rsidP="00A41404">
      <w:pPr>
        <w:jc w:val="both"/>
      </w:pPr>
      <w:r>
        <w:pict w14:anchorId="6BD5A3E9">
          <v:shapetype id="_x0000_t202" coordsize="21600,21600" o:spt="202" path="m,l,21600r21600,l21600,xe">
            <v:stroke joinstyle="miter"/>
            <v:path gradientshapeok="t" o:connecttype="rect"/>
          </v:shapetype>
          <v:shape id="Text Box 2" o:spid="_x0000_s1026" type="#_x0000_t202" style="position:absolute;left:0;text-align:left;margin-left:251.85pt;margin-top:8.75pt;width:178.4pt;height:34.8pt;z-index:25165670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">
            <v:textbox style="mso-next-textbox:#Text Box 2;mso-fit-shape-to-text:t">
              <w:txbxContent>
                <w:p w14:paraId="3839FC08" w14:textId="77777777" w:rsidR="002F589D" w:rsidRDefault="00166DEA">
                  <w:r>
                    <w:rPr>
                      <w:color w:val="0070C0"/>
                    </w:rPr>
                    <w:t>Αυτό το έγγραφο παρέχει οδηγίες για Ευρωπαϊκούς Συνδέσμους και Εθνικούς Συνδέσμους.</w:t>
                  </w:r>
                </w:p>
              </w:txbxContent>
            </v:textbox>
            <w10:wrap type="square"/>
          </v:shape>
        </w:pict>
      </w:r>
    </w:p>
    <w:p w14:paraId="3D97422C" w14:textId="77777777" w:rsidR="002F589D" w:rsidRPr="002F589D" w:rsidRDefault="00166DEA" w:rsidP="00A41404">
      <w:pPr>
        <w:pStyle w:val="ListParagraph"/>
        <w:numPr>
          <w:ilvl w:val="0"/>
          <w:numId w:val="2"/>
        </w:numPr>
        <w:jc w:val="both"/>
        <w:rPr>
          <w:color w:val="0070C0"/>
        </w:rPr>
      </w:pPr>
      <w:r>
        <w:rPr>
          <w:color w:val="0070C0"/>
        </w:rPr>
        <w:t>Επίπεδο Ευρωπαϊκού Συνδέσμου</w:t>
      </w:r>
    </w:p>
    <w:p w14:paraId="6ED278DC" w14:textId="77777777" w:rsidR="002F589D" w:rsidRPr="002F589D" w:rsidRDefault="00166DEA" w:rsidP="00A41404">
      <w:pPr>
        <w:pStyle w:val="ListParagraph"/>
        <w:numPr>
          <w:ilvl w:val="0"/>
          <w:numId w:val="2"/>
        </w:numPr>
        <w:jc w:val="both"/>
        <w:rPr>
          <w:color w:val="0070C0"/>
        </w:rPr>
      </w:pPr>
      <w:r>
        <w:rPr>
          <w:color w:val="0070C0"/>
        </w:rPr>
        <w:t>Επίπεδο Εθνικού Συνδέσμου</w:t>
      </w:r>
    </w:p>
    <w:p w14:paraId="1B7378D3" w14:textId="77777777" w:rsidR="002F589D" w:rsidRDefault="00166DEA" w:rsidP="00A41404">
      <w:pPr>
        <w:pStyle w:val="ListParagraph"/>
        <w:numPr>
          <w:ilvl w:val="0"/>
          <w:numId w:val="2"/>
        </w:numPr>
        <w:jc w:val="both"/>
      </w:pPr>
      <w:r>
        <w:t>Επίπεδο εταιρείας</w:t>
      </w:r>
    </w:p>
    <w:p w14:paraId="37EEF585" w14:textId="77777777" w:rsidR="002F589D" w:rsidRDefault="00166DEA" w:rsidP="00A41404">
      <w:pPr>
        <w:pStyle w:val="ListParagraph"/>
        <w:numPr>
          <w:ilvl w:val="0"/>
          <w:numId w:val="2"/>
        </w:numPr>
        <w:jc w:val="both"/>
      </w:pPr>
      <w:r>
        <w:t>Επίπεδο εγκατάστασης</w:t>
      </w:r>
    </w:p>
    <w:p w14:paraId="654DB200" w14:textId="77777777" w:rsidR="002F589D" w:rsidRDefault="002F589D" w:rsidP="00A41404">
      <w:pPr>
        <w:jc w:val="both"/>
      </w:pPr>
    </w:p>
    <w:p w14:paraId="70B29D2A" w14:textId="77777777" w:rsidR="002F589D" w:rsidRDefault="00166DEA" w:rsidP="00A41404">
      <w:pPr>
        <w:jc w:val="both"/>
      </w:pPr>
      <w:r>
        <w:t>Οι Σύνδεσμοι (Ευρωπαϊκοί ή/και Εθνικοί) ενθαρρύνονται να καλούν τις εταιρείες-μέλη τους να συμμετάσχουν στην ηλεκτρονική υποβολή αναφοράς της NEPSI.</w:t>
      </w:r>
    </w:p>
    <w:p w14:paraId="0F443512" w14:textId="77777777" w:rsidR="002F589D" w:rsidRDefault="002F589D" w:rsidP="00A41404">
      <w:pPr>
        <w:jc w:val="both"/>
      </w:pPr>
    </w:p>
    <w:p w14:paraId="46B49ABA" w14:textId="77777777" w:rsidR="002F589D" w:rsidRDefault="00166DEA" w:rsidP="00A41404">
      <w:pPr>
        <w:jc w:val="both"/>
      </w:pPr>
      <w:r>
        <w:t>Η παρακάτω εικόνα παρουσιάζει τα επίπεδα και τις υποχρεώσεις κάθε φορέα σε καθένα από τα επίπεδα (αποστολή προσκλήσεων ή αναφορά ΚΡΙ της NEPSI).</w:t>
      </w:r>
    </w:p>
    <w:p w14:paraId="19A0AB56" w14:textId="77777777" w:rsidR="002F589D" w:rsidRDefault="002F589D" w:rsidP="00A41404">
      <w:pPr>
        <w:jc w:val="both"/>
      </w:pPr>
    </w:p>
    <w:p w14:paraId="43D9CCF2" w14:textId="77777777" w:rsidR="002F589D" w:rsidRDefault="002F589D" w:rsidP="00A41404">
      <w:pPr>
        <w:jc w:val="both"/>
      </w:pPr>
    </w:p>
    <w:p w14:paraId="15983D6D" w14:textId="77777777" w:rsidR="002F589D" w:rsidRDefault="002F589D" w:rsidP="00A41404">
      <w:pPr>
        <w:jc w:val="both"/>
      </w:pPr>
    </w:p>
    <w:p w14:paraId="0C794C74" w14:textId="77777777" w:rsidR="002F589D" w:rsidRDefault="002F589D" w:rsidP="00A41404">
      <w:pPr>
        <w:jc w:val="both"/>
      </w:pPr>
    </w:p>
    <w:p w14:paraId="2476A70E" w14:textId="7597E0F9" w:rsidR="002F589D" w:rsidRDefault="00F66AE8" w:rsidP="00F66AE8">
      <w:pPr>
        <w:jc w:val="center"/>
      </w:pPr>
      <w:r>
        <w:rPr>
          <w:noProof/>
        </w:rPr>
        <w:drawing>
          <wp:inline distT="0" distB="0" distL="0" distR="0" wp14:anchorId="2FC54EB3" wp14:editId="03628513">
            <wp:extent cx="4791710" cy="2798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1710" cy="2798445"/>
                    </a:xfrm>
                    <a:prstGeom prst="rect">
                      <a:avLst/>
                    </a:prstGeom>
                    <a:noFill/>
                  </pic:spPr>
                </pic:pic>
              </a:graphicData>
            </a:graphic>
          </wp:inline>
        </w:drawing>
      </w:r>
      <w:bookmarkStart w:id="0" w:name="_GoBack"/>
      <w:bookmarkEnd w:id="0"/>
    </w:p>
    <w:p w14:paraId="76F37E4D" w14:textId="77777777" w:rsidR="002F589D" w:rsidRDefault="002F589D" w:rsidP="00A41404">
      <w:pPr>
        <w:jc w:val="both"/>
      </w:pPr>
    </w:p>
    <w:p w14:paraId="76415558" w14:textId="77777777" w:rsidR="002F589D" w:rsidRDefault="00166DEA" w:rsidP="00A41404">
      <w:pPr>
        <w:jc w:val="both"/>
      </w:pPr>
      <w:r>
        <w:t>Οι δύο μέθοδοι υποβολής αναφοράς σε επίπεδο Ευρωπαϊκού Συνδέσμου και σε επίπεδο Εθνικού Συνδέσμου περιγράφονται παρακάτω:</w:t>
      </w:r>
    </w:p>
    <w:p w14:paraId="4373F719" w14:textId="77777777" w:rsidR="002F589D" w:rsidRDefault="002F589D" w:rsidP="00A41404">
      <w:pPr>
        <w:jc w:val="both"/>
      </w:pPr>
    </w:p>
    <w:p w14:paraId="52DB43BC" w14:textId="77777777" w:rsidR="002F589D" w:rsidRPr="009F2DB7" w:rsidRDefault="00166DEA" w:rsidP="00A41404">
      <w:pPr>
        <w:numPr>
          <w:ilvl w:val="0"/>
          <w:numId w:val="3"/>
        </w:numPr>
        <w:jc w:val="both"/>
        <w:rPr>
          <w:b/>
          <w:bCs/>
        </w:rPr>
      </w:pPr>
      <w:r>
        <w:rPr>
          <w:b/>
        </w:rPr>
        <w:t>Επίπεδο εγκατάστασης</w:t>
      </w:r>
    </w:p>
    <w:p w14:paraId="40C27257" w14:textId="77777777" w:rsidR="002F589D" w:rsidRDefault="002F589D" w:rsidP="00A41404">
      <w:pPr>
        <w:jc w:val="both"/>
      </w:pPr>
    </w:p>
    <w:p w14:paraId="7EA954C9" w14:textId="77777777" w:rsidR="002F589D" w:rsidRDefault="00166DEA" w:rsidP="00A41404">
      <w:pPr>
        <w:jc w:val="both"/>
      </w:pPr>
      <w:r>
        <w:t>Το σύστημα που προβλέφθηκε αρχικά στη Σύμβαση SDA για την αναφορά των ΚΡΙ ήταν σε επίπεδο εγκατάστασης. Αυτή παραμένει η προτιμώμενη μέθοδος. Οι εταιρείες εγγράφονται από Ευρωπαϊκούς Κλάδους ή Εθνικούς Συνδέσμους και κατόπιν οι εταιρείες εγγράφουν ονομαστικά τις εγκαταστάσεις τους.</w:t>
      </w:r>
    </w:p>
    <w:p w14:paraId="4126936A" w14:textId="77777777" w:rsidR="002F589D" w:rsidRDefault="002F589D" w:rsidP="00A41404">
      <w:pPr>
        <w:jc w:val="both"/>
      </w:pPr>
    </w:p>
    <w:p w14:paraId="7FF20EAA" w14:textId="77777777" w:rsidR="002F589D" w:rsidRPr="009F2DB7" w:rsidRDefault="00166DEA" w:rsidP="00A41404">
      <w:pPr>
        <w:numPr>
          <w:ilvl w:val="0"/>
          <w:numId w:val="3"/>
        </w:numPr>
        <w:jc w:val="both"/>
        <w:rPr>
          <w:b/>
          <w:bCs/>
        </w:rPr>
      </w:pPr>
      <w:r>
        <w:rPr>
          <w:b/>
        </w:rPr>
        <w:t>Άλλα επίπεδα</w:t>
      </w:r>
    </w:p>
    <w:p w14:paraId="042982B4" w14:textId="77777777" w:rsidR="002F589D" w:rsidRDefault="002F589D" w:rsidP="00A41404">
      <w:pPr>
        <w:jc w:val="both"/>
      </w:pPr>
    </w:p>
    <w:p w14:paraId="4787D914" w14:textId="77777777" w:rsidR="002F589D" w:rsidRDefault="00166DEA" w:rsidP="00A41404">
      <w:pPr>
        <w:jc w:val="both"/>
      </w:pPr>
      <w:r>
        <w:t>Σε οποιοδήποτε επίπεδο είναι δυνατή η συγκέντρωση δεδομένων εκτός του συστήματος από τα μέλη / τις εταιρείες και η καταχώρηση των δεδομένων ηλεκτρονικά σε μία αναφορά.</w:t>
      </w:r>
    </w:p>
    <w:p w14:paraId="419FBC1E" w14:textId="77777777" w:rsidR="002F589D" w:rsidRDefault="002F589D" w:rsidP="00A41404">
      <w:pPr>
        <w:jc w:val="both"/>
      </w:pPr>
    </w:p>
    <w:p w14:paraId="28009B4C" w14:textId="77777777" w:rsidR="002F589D" w:rsidRDefault="00166DEA" w:rsidP="00A41404">
      <w:pPr>
        <w:jc w:val="both"/>
      </w:pPr>
      <w:r>
        <w:rPr>
          <w:b/>
        </w:rPr>
        <w:t>Η εθελοντική υποβολή αναφοράς</w:t>
      </w:r>
      <w:r>
        <w:t xml:space="preserve"> είναι δυνατή για όλα τα επίπεδα για εταιρείες και εγκαταστάσεις εκτός της ΕΕ και για μη υπογράφοντες της NEPSI.</w:t>
      </w:r>
    </w:p>
    <w:p w14:paraId="3A5288A1" w14:textId="77777777" w:rsidR="002F589D" w:rsidRDefault="002F589D" w:rsidP="00A414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F2DB7" w14:paraId="231BA1BF" w14:textId="77777777" w:rsidTr="003D6FF0">
        <w:tc>
          <w:tcPr>
            <w:tcW w:w="9242" w:type="dxa"/>
            <w:shd w:val="clear" w:color="auto" w:fill="auto"/>
          </w:tcPr>
          <w:p w14:paraId="0B50500C" w14:textId="77777777" w:rsidR="009F2DB7" w:rsidRDefault="00166DEA" w:rsidP="003D6FF0">
            <w:pPr>
              <w:jc w:val="both"/>
            </w:pPr>
            <w:r>
              <w:t>Όλες οι εγκαταστάσεις, είτε παράγεται σε αυτές μέσω μιας διεργασίας αναπνεύσιμο κρυσταλλικό πυριτικό είτε όχι, καλούνται να υποβάλλουν αναφορά στο Σύστημα Υποβολής Αναφοράς της NEPSI.</w:t>
            </w:r>
          </w:p>
        </w:tc>
      </w:tr>
    </w:tbl>
    <w:p w14:paraId="7618D781" w14:textId="77777777" w:rsidR="002F589D" w:rsidRDefault="002F589D" w:rsidP="00A41404">
      <w:pPr>
        <w:jc w:val="both"/>
      </w:pPr>
    </w:p>
    <w:p w14:paraId="321055C4" w14:textId="77777777" w:rsidR="002F589D" w:rsidRPr="009F2DB7" w:rsidRDefault="00166DEA" w:rsidP="00A41404">
      <w:pPr>
        <w:pStyle w:val="ListParagraph"/>
        <w:numPr>
          <w:ilvl w:val="0"/>
          <w:numId w:val="1"/>
        </w:numPr>
        <w:jc w:val="both"/>
        <w:rPr>
          <w:b/>
          <w:bCs/>
        </w:rPr>
      </w:pPr>
      <w:r>
        <w:rPr>
          <w:b/>
        </w:rPr>
        <w:t>Πρόσβαση στο σύστημα</w:t>
      </w:r>
    </w:p>
    <w:p w14:paraId="37B71B3E" w14:textId="77777777" w:rsidR="002F589D" w:rsidRDefault="002F589D" w:rsidP="00A41404">
      <w:pPr>
        <w:jc w:val="both"/>
      </w:pPr>
    </w:p>
    <w:p w14:paraId="069CE79A" w14:textId="77777777" w:rsidR="002F589D" w:rsidRDefault="00166DEA" w:rsidP="00A41404">
      <w:pPr>
        <w:jc w:val="both"/>
      </w:pPr>
      <w:r>
        <w:t>Η πρόσβαση για οντότητες («κόμβοι») πραγματοποιείται μέσω ενός «Ονόματος χρήστη» (διεύθυνση email) και ενός Προσωπικού Αριθμού Αναγνώρισης (ΡΙΝ). Εάν χρησιμοποιείτε το σύστημα για πολλαπλούς κόμβους, η πρόσβαση είναι δυνατή μέσω ενός Ονόματος χρήστη και ενός PIN.</w:t>
      </w:r>
    </w:p>
    <w:p w14:paraId="4C6DBCC3" w14:textId="77777777" w:rsidR="002F589D" w:rsidRDefault="002F589D" w:rsidP="00A41404">
      <w:pPr>
        <w:jc w:val="both"/>
      </w:pPr>
    </w:p>
    <w:p w14:paraId="28EF5910" w14:textId="77777777" w:rsidR="002F589D" w:rsidRDefault="00166DEA" w:rsidP="00A41404">
      <w:pPr>
        <w:jc w:val="both"/>
      </w:pPr>
      <w:r>
        <w:t>Την πρώτη φορά που εγγράφεται ένας χρήστης, αποστέλλονται αυτόματα από τα σύστημα ένας υπερσύνδεσμος και ο Προσωπικός Αριθμός Αναγνώρισης (ΡΙΝ) μέσω 2 ξεχωριστών email.</w:t>
      </w:r>
    </w:p>
    <w:p w14:paraId="01387496" w14:textId="77777777" w:rsidR="002F589D" w:rsidRDefault="002F589D" w:rsidP="00A41404">
      <w:pPr>
        <w:jc w:val="both"/>
      </w:pPr>
    </w:p>
    <w:p w14:paraId="6DDD53B0" w14:textId="77777777" w:rsidR="002F589D" w:rsidRDefault="00166DEA" w:rsidP="00A41404">
      <w:pPr>
        <w:jc w:val="both"/>
      </w:pPr>
      <w:r>
        <w:lastRenderedPageBreak/>
        <w:t>Μόλις συνδεθείτε, θα εισέλθετε σε έναν χώρο όπου μπορείτε να έχετε πρόσβαση σε οποιοδήποτε από τα σημεία υποβολής αναφοράς που συσχετίζεται με το Όνομα χρήστη σας, και έχετε τις παρακάτω επιλογές:</w:t>
      </w:r>
    </w:p>
    <w:p w14:paraId="5EE085CA" w14:textId="77777777" w:rsidR="009F2DB7" w:rsidRDefault="00F66AE8" w:rsidP="00A41404">
      <w:pPr>
        <w:jc w:val="both"/>
      </w:pPr>
    </w:p>
    <w:tbl>
      <w:tblPr>
        <w:tblW w:w="0" w:type="auto"/>
        <w:tblLook w:val="04A0" w:firstRow="1" w:lastRow="0" w:firstColumn="1" w:lastColumn="0" w:noHBand="0" w:noVBand="1"/>
      </w:tblPr>
      <w:tblGrid>
        <w:gridCol w:w="1848"/>
        <w:gridCol w:w="528"/>
        <w:gridCol w:w="1985"/>
        <w:gridCol w:w="567"/>
        <w:gridCol w:w="2268"/>
      </w:tblGrid>
      <w:tr w:rsidR="00A41404" w14:paraId="71B67A7A" w14:textId="77777777" w:rsidTr="003D6FF0">
        <w:tc>
          <w:tcPr>
            <w:tcW w:w="1848" w:type="dxa"/>
            <w:tcBorders>
              <w:top w:val="single" w:sz="4" w:space="0" w:color="auto"/>
              <w:left w:val="single" w:sz="4" w:space="0" w:color="auto"/>
              <w:bottom w:val="single" w:sz="4" w:space="0" w:color="auto"/>
              <w:right w:val="single" w:sz="4" w:space="0" w:color="auto"/>
            </w:tcBorders>
            <w:shd w:val="clear" w:color="auto" w:fill="auto"/>
          </w:tcPr>
          <w:p w14:paraId="66798FB1" w14:textId="24E6D785" w:rsidR="009F2DB7" w:rsidRDefault="00166DEA" w:rsidP="003D6FF0">
            <w:pPr>
              <w:jc w:val="both"/>
            </w:pPr>
            <w:r>
              <w:t>Οι κόμβοι μου</w:t>
            </w:r>
          </w:p>
        </w:tc>
        <w:tc>
          <w:tcPr>
            <w:tcW w:w="528" w:type="dxa"/>
            <w:tcBorders>
              <w:left w:val="single" w:sz="4" w:space="0" w:color="auto"/>
              <w:right w:val="single" w:sz="4" w:space="0" w:color="auto"/>
            </w:tcBorders>
            <w:shd w:val="clear" w:color="auto" w:fill="auto"/>
          </w:tcPr>
          <w:p w14:paraId="608A560F" w14:textId="77777777" w:rsidR="009F2DB7" w:rsidRDefault="00F66AE8" w:rsidP="003D6FF0">
            <w:pPr>
              <w:jc w:val="both"/>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61478B5" w14:textId="20917F21" w:rsidR="009F2DB7" w:rsidRDefault="00166DEA" w:rsidP="003D6FF0">
            <w:pPr>
              <w:jc w:val="both"/>
            </w:pPr>
            <w:r>
              <w:t>Αλλαγή των στοιχείων μου</w:t>
            </w:r>
          </w:p>
        </w:tc>
        <w:tc>
          <w:tcPr>
            <w:tcW w:w="567" w:type="dxa"/>
            <w:tcBorders>
              <w:left w:val="single" w:sz="4" w:space="0" w:color="auto"/>
              <w:right w:val="single" w:sz="4" w:space="0" w:color="auto"/>
            </w:tcBorders>
            <w:shd w:val="clear" w:color="auto" w:fill="auto"/>
          </w:tcPr>
          <w:p w14:paraId="4A6789E0" w14:textId="77777777" w:rsidR="009F2DB7" w:rsidRDefault="00F66AE8" w:rsidP="003D6FF0">
            <w:pPr>
              <w:jc w:val="both"/>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213337" w14:textId="51F8F5DE" w:rsidR="009F2DB7" w:rsidRDefault="00166DEA" w:rsidP="003D6FF0">
            <w:pPr>
              <w:jc w:val="both"/>
            </w:pPr>
            <w:r>
              <w:t>Αλλαγή γλωσσών</w:t>
            </w:r>
          </w:p>
        </w:tc>
      </w:tr>
    </w:tbl>
    <w:p w14:paraId="00858EB0" w14:textId="77777777" w:rsidR="002F589D" w:rsidRDefault="002F589D" w:rsidP="00A41404">
      <w:pPr>
        <w:jc w:val="both"/>
      </w:pPr>
    </w:p>
    <w:p w14:paraId="1EBFB867" w14:textId="77777777" w:rsidR="002F589D" w:rsidRDefault="002F589D" w:rsidP="00A41404">
      <w:pPr>
        <w:jc w:val="both"/>
      </w:pPr>
    </w:p>
    <w:p w14:paraId="3C11FF51" w14:textId="6FE48353" w:rsidR="002F589D" w:rsidRDefault="00166DEA" w:rsidP="00A41404">
      <w:pPr>
        <w:numPr>
          <w:ilvl w:val="0"/>
          <w:numId w:val="6"/>
        </w:numPr>
        <w:jc w:val="both"/>
      </w:pPr>
      <w:r>
        <w:rPr>
          <w:b/>
        </w:rPr>
        <w:t>Οι κόμβοι μου</w:t>
      </w:r>
      <w:r>
        <w:t>: Σύνδεσμοι και μέλη για τα οποία επιβλέπω την πρόσκληση ή/και για τα οποία έχω λάβει πρόσκληση.</w:t>
      </w:r>
    </w:p>
    <w:p w14:paraId="197C98BD" w14:textId="77777777" w:rsidR="002F589D" w:rsidRDefault="002F589D" w:rsidP="00A41404">
      <w:pPr>
        <w:jc w:val="both"/>
      </w:pPr>
    </w:p>
    <w:p w14:paraId="5BFC3F69" w14:textId="3BEDF401" w:rsidR="002F589D" w:rsidRDefault="00166DEA" w:rsidP="00A41404">
      <w:pPr>
        <w:numPr>
          <w:ilvl w:val="0"/>
          <w:numId w:val="5"/>
        </w:numPr>
        <w:jc w:val="both"/>
      </w:pPr>
      <w:r>
        <w:rPr>
          <w:b/>
        </w:rPr>
        <w:t>Αλλαγή των στοιχείων μου</w:t>
      </w:r>
      <w:r>
        <w:t>: Αλλαγή του ονόματός σας. Ο εγγραφέας σας θα ειδοποιηθεί για αυτήν την αλλαγή.</w:t>
      </w:r>
    </w:p>
    <w:p w14:paraId="7719742F" w14:textId="77777777" w:rsidR="002F589D" w:rsidRDefault="002F589D" w:rsidP="00A41404">
      <w:pPr>
        <w:jc w:val="both"/>
      </w:pPr>
    </w:p>
    <w:p w14:paraId="268B357F" w14:textId="21E90608" w:rsidR="002F589D" w:rsidRDefault="00166DEA" w:rsidP="00A41404">
      <w:pPr>
        <w:numPr>
          <w:ilvl w:val="0"/>
          <w:numId w:val="4"/>
        </w:numPr>
        <w:jc w:val="both"/>
      </w:pPr>
      <w:r>
        <w:rPr>
          <w:b/>
        </w:rPr>
        <w:t>Απόρριψη πρόσκλησης</w:t>
      </w:r>
      <w:r>
        <w:t>: Απόρριψη μιας πρόσκλησης, όταν έχετε ήδη προσκληθεί από κάποιον άλλο.</w:t>
      </w:r>
    </w:p>
    <w:p w14:paraId="45901DE1" w14:textId="77777777" w:rsidR="002F589D" w:rsidRDefault="002F589D" w:rsidP="00A414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tblGrid>
      <w:tr w:rsidR="009F2DB7" w14:paraId="0DA4749A" w14:textId="77777777" w:rsidTr="003D6FF0">
        <w:tc>
          <w:tcPr>
            <w:tcW w:w="1951" w:type="dxa"/>
            <w:shd w:val="clear" w:color="auto" w:fill="auto"/>
          </w:tcPr>
          <w:p w14:paraId="44D72B49" w14:textId="4B374758" w:rsidR="009F2DB7" w:rsidRDefault="00166DEA" w:rsidP="003D6FF0">
            <w:pPr>
              <w:jc w:val="both"/>
            </w:pPr>
            <w:r>
              <w:t>Οι κόμβοι μου</w:t>
            </w:r>
          </w:p>
        </w:tc>
      </w:tr>
    </w:tbl>
    <w:p w14:paraId="7919ECB1" w14:textId="77777777" w:rsidR="002F589D" w:rsidRDefault="002F589D" w:rsidP="00A41404">
      <w:pPr>
        <w:jc w:val="both"/>
      </w:pPr>
    </w:p>
    <w:p w14:paraId="729A3DB4" w14:textId="77777777" w:rsidR="002F589D" w:rsidRDefault="00166DEA" w:rsidP="00A41404">
      <w:pPr>
        <w:jc w:val="both"/>
      </w:pPr>
      <w:r>
        <w:t>Εμφανίζει μια λίστα κόμβων για τους οποίους είστε ο Υπεύθυνος Επικοινωνίας. Μόλις επιλέξετε ένα μέλος, θα έχετε κάποιες επιλογές</w:t>
      </w:r>
    </w:p>
    <w:p w14:paraId="223E28E4" w14:textId="77777777" w:rsidR="002F589D" w:rsidRDefault="002F589D" w:rsidP="00A414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F2DB7" w14:paraId="3303637E" w14:textId="77777777" w:rsidTr="003D6FF0">
        <w:tc>
          <w:tcPr>
            <w:tcW w:w="4621" w:type="dxa"/>
            <w:shd w:val="clear" w:color="auto" w:fill="D9E2F3"/>
            <w:vAlign w:val="center"/>
          </w:tcPr>
          <w:p w14:paraId="45B3681A" w14:textId="77777777" w:rsidR="009F2DB7" w:rsidRDefault="00166DEA" w:rsidP="003D6FF0">
            <w:pPr>
              <w:spacing w:before="120" w:after="120"/>
              <w:jc w:val="center"/>
            </w:pPr>
            <w:r>
              <w:rPr>
                <w:b/>
              </w:rPr>
              <w:t>Λειτουργίες</w:t>
            </w:r>
          </w:p>
        </w:tc>
        <w:tc>
          <w:tcPr>
            <w:tcW w:w="4621" w:type="dxa"/>
            <w:shd w:val="clear" w:color="auto" w:fill="D9E2F3"/>
            <w:vAlign w:val="center"/>
          </w:tcPr>
          <w:p w14:paraId="0EAD8CE8" w14:textId="77777777" w:rsidR="009F2DB7" w:rsidRDefault="00166DEA" w:rsidP="003D6FF0">
            <w:pPr>
              <w:spacing w:before="120" w:after="120"/>
              <w:jc w:val="center"/>
            </w:pPr>
            <w:r>
              <w:rPr>
                <w:b/>
              </w:rPr>
              <w:t>Περιγραφή</w:t>
            </w:r>
          </w:p>
        </w:tc>
      </w:tr>
      <w:tr w:rsidR="009F2DB7" w14:paraId="442D38F8" w14:textId="77777777" w:rsidTr="003D6FF0">
        <w:tc>
          <w:tcPr>
            <w:tcW w:w="4621" w:type="dxa"/>
            <w:shd w:val="clear" w:color="auto" w:fill="auto"/>
            <w:vAlign w:val="center"/>
          </w:tcPr>
          <w:p w14:paraId="240CAFFE" w14:textId="28A630EA" w:rsidR="009F2DB7" w:rsidRPr="003D6FF0" w:rsidRDefault="00166DEA" w:rsidP="003D6FF0">
            <w:pPr>
              <w:spacing w:before="120" w:after="120"/>
              <w:jc w:val="both"/>
              <w:rPr>
                <w:b/>
                <w:bCs/>
              </w:rPr>
            </w:pPr>
            <w:r>
              <w:t>Συμπλήρωση αναφοράς σε αυτό το επίπεδο</w:t>
            </w:r>
          </w:p>
        </w:tc>
        <w:tc>
          <w:tcPr>
            <w:tcW w:w="4621" w:type="dxa"/>
            <w:shd w:val="clear" w:color="auto" w:fill="auto"/>
          </w:tcPr>
          <w:p w14:paraId="15C8673C" w14:textId="77777777" w:rsidR="009F2DB7" w:rsidRPr="003D6FF0" w:rsidRDefault="00166DEA" w:rsidP="003D6FF0">
            <w:pPr>
              <w:spacing w:before="120" w:after="120"/>
              <w:jc w:val="both"/>
              <w:rPr>
                <w:b/>
                <w:bCs/>
              </w:rPr>
            </w:pPr>
            <w:r>
              <w:t>Δεν αφορά τους Συνδέσμους κατά την αποστολή προσκλήσεων σε μέλη, καθώς οι αναφορές θα πρέπει να συμπληρωθούν από εταιρείες και εγκαταστάσεις.</w:t>
            </w:r>
          </w:p>
        </w:tc>
      </w:tr>
      <w:tr w:rsidR="009F2DB7" w14:paraId="6E0376A0" w14:textId="77777777" w:rsidTr="003D6FF0">
        <w:tc>
          <w:tcPr>
            <w:tcW w:w="4621" w:type="dxa"/>
            <w:shd w:val="clear" w:color="auto" w:fill="auto"/>
            <w:vAlign w:val="center"/>
          </w:tcPr>
          <w:p w14:paraId="15EF6993" w14:textId="3E9A1C1B" w:rsidR="009F2DB7" w:rsidRPr="003D6FF0" w:rsidRDefault="00166DEA" w:rsidP="003D6FF0">
            <w:pPr>
              <w:spacing w:before="120" w:after="120"/>
              <w:jc w:val="both"/>
            </w:pPr>
            <w:r>
              <w:t>Εγγραφή/Διαχείριση μελών</w:t>
            </w:r>
          </w:p>
        </w:tc>
        <w:tc>
          <w:tcPr>
            <w:tcW w:w="4621" w:type="dxa"/>
            <w:shd w:val="clear" w:color="auto" w:fill="auto"/>
          </w:tcPr>
          <w:p w14:paraId="1CB1D9F6" w14:textId="77777777" w:rsidR="009F2DB7" w:rsidRPr="003D6FF0" w:rsidRDefault="00166DEA" w:rsidP="003D6FF0">
            <w:pPr>
              <w:spacing w:before="120" w:after="120"/>
              <w:jc w:val="both"/>
            </w:pPr>
            <w:r>
              <w:t>Προσθήκη, ενημέρωση ή διαγραφή Συνδέσμων-Μελών ή/και εταιρειών.</w:t>
            </w:r>
          </w:p>
        </w:tc>
      </w:tr>
      <w:tr w:rsidR="009F2DB7" w14:paraId="17A2E5FC" w14:textId="77777777" w:rsidTr="003D6FF0">
        <w:tc>
          <w:tcPr>
            <w:tcW w:w="4621" w:type="dxa"/>
            <w:shd w:val="clear" w:color="auto" w:fill="auto"/>
            <w:vAlign w:val="center"/>
          </w:tcPr>
          <w:p w14:paraId="15EAC42D" w14:textId="4590E35B" w:rsidR="009F2DB7" w:rsidRPr="003D6FF0" w:rsidRDefault="00166DEA" w:rsidP="003D6FF0">
            <w:pPr>
              <w:spacing w:before="120" w:after="120"/>
              <w:jc w:val="both"/>
            </w:pPr>
            <w:r>
              <w:t>Μεταβίβαση κυριότητας (αυτής της εγγραφής)</w:t>
            </w:r>
          </w:p>
        </w:tc>
        <w:tc>
          <w:tcPr>
            <w:tcW w:w="4621" w:type="dxa"/>
            <w:shd w:val="clear" w:color="auto" w:fill="auto"/>
          </w:tcPr>
          <w:p w14:paraId="6A74A320" w14:textId="77777777" w:rsidR="009F2DB7" w:rsidRPr="003D6FF0" w:rsidRDefault="00166DEA" w:rsidP="003D6FF0">
            <w:pPr>
              <w:spacing w:before="120" w:after="120"/>
              <w:jc w:val="both"/>
            </w:pPr>
            <w:r>
              <w:t>Δυνατότητα αλλαγής του ονόματος και του email του υπεύθυνου επικοινωνίας.</w:t>
            </w:r>
          </w:p>
        </w:tc>
      </w:tr>
      <w:tr w:rsidR="009F2DB7" w14:paraId="75894BAC" w14:textId="77777777" w:rsidTr="003D6FF0">
        <w:tc>
          <w:tcPr>
            <w:tcW w:w="4621" w:type="dxa"/>
            <w:shd w:val="clear" w:color="auto" w:fill="auto"/>
            <w:vAlign w:val="center"/>
          </w:tcPr>
          <w:p w14:paraId="5F5DA27A" w14:textId="57305D79" w:rsidR="009F2DB7" w:rsidRPr="003D6FF0" w:rsidRDefault="00166DEA" w:rsidP="003D6FF0">
            <w:pPr>
              <w:spacing w:before="120" w:after="120"/>
              <w:jc w:val="both"/>
            </w:pPr>
            <w:r>
              <w:t>Τροποποίηση επωνυμίας (αυτής της εγγραφής)</w:t>
            </w:r>
          </w:p>
        </w:tc>
        <w:tc>
          <w:tcPr>
            <w:tcW w:w="4621" w:type="dxa"/>
            <w:shd w:val="clear" w:color="auto" w:fill="auto"/>
          </w:tcPr>
          <w:p w14:paraId="262F096C" w14:textId="77777777" w:rsidR="009F2DB7" w:rsidRPr="003D6FF0" w:rsidRDefault="00166DEA" w:rsidP="003D6FF0">
            <w:pPr>
              <w:spacing w:before="120" w:after="120"/>
              <w:jc w:val="both"/>
            </w:pPr>
            <w:r>
              <w:t>Αλλαγή ονόματος και στοιχείων των υπεύθυνων επικοινωνίας του Συνδέσμου.</w:t>
            </w:r>
          </w:p>
        </w:tc>
      </w:tr>
      <w:tr w:rsidR="009F2DB7" w14:paraId="3AFF533A" w14:textId="77777777" w:rsidTr="003D6FF0">
        <w:tc>
          <w:tcPr>
            <w:tcW w:w="4621" w:type="dxa"/>
            <w:shd w:val="clear" w:color="auto" w:fill="auto"/>
            <w:vAlign w:val="center"/>
          </w:tcPr>
          <w:p w14:paraId="2F2904B7" w14:textId="1DAF1C7F" w:rsidR="009F2DB7" w:rsidRPr="003D6FF0" w:rsidRDefault="00166DEA" w:rsidP="003D6FF0">
            <w:pPr>
              <w:spacing w:before="120" w:after="120"/>
              <w:jc w:val="both"/>
            </w:pPr>
            <w:r>
              <w:t>Εκτύπωση κενής αναφοράς</w:t>
            </w:r>
          </w:p>
        </w:tc>
        <w:tc>
          <w:tcPr>
            <w:tcW w:w="4621" w:type="dxa"/>
            <w:shd w:val="clear" w:color="auto" w:fill="auto"/>
          </w:tcPr>
          <w:p w14:paraId="53A6A471" w14:textId="77777777" w:rsidR="009F2DB7" w:rsidRPr="003D6FF0" w:rsidRDefault="00166DEA" w:rsidP="003D6FF0">
            <w:pPr>
              <w:spacing w:before="120" w:after="120"/>
              <w:jc w:val="both"/>
            </w:pPr>
            <w:r>
              <w:t>Προβολή και εκτύπωση ερωτηματολογίου.</w:t>
            </w:r>
          </w:p>
        </w:tc>
      </w:tr>
      <w:tr w:rsidR="009F2DB7" w14:paraId="1433C1E6" w14:textId="77777777" w:rsidTr="003D6FF0">
        <w:tc>
          <w:tcPr>
            <w:tcW w:w="4621" w:type="dxa"/>
            <w:shd w:val="clear" w:color="auto" w:fill="auto"/>
            <w:vAlign w:val="center"/>
          </w:tcPr>
          <w:p w14:paraId="7028992E" w14:textId="27736E3E" w:rsidR="009F2DB7" w:rsidRPr="003D6FF0" w:rsidRDefault="00166DEA" w:rsidP="003D6FF0">
            <w:pPr>
              <w:spacing w:before="120" w:after="120"/>
              <w:jc w:val="both"/>
            </w:pPr>
            <w:r>
              <w:t>Προβολή ενοποιημένης αναφοράς</w:t>
            </w:r>
          </w:p>
        </w:tc>
        <w:tc>
          <w:tcPr>
            <w:tcW w:w="4621" w:type="dxa"/>
            <w:shd w:val="clear" w:color="auto" w:fill="auto"/>
          </w:tcPr>
          <w:p w14:paraId="608973FE" w14:textId="77777777" w:rsidR="009F2DB7" w:rsidRPr="003D6FF0" w:rsidRDefault="00166DEA" w:rsidP="003D6FF0">
            <w:pPr>
              <w:spacing w:before="120" w:after="120"/>
              <w:jc w:val="both"/>
            </w:pPr>
            <w:r>
              <w:t>Προβολή όλων των απαντήσεων που έχουν υποβληθεί σε μία ενιαία αναφορά</w:t>
            </w:r>
          </w:p>
        </w:tc>
      </w:tr>
      <w:tr w:rsidR="009F2DB7" w14:paraId="573B8696" w14:textId="77777777" w:rsidTr="003D6FF0">
        <w:tc>
          <w:tcPr>
            <w:tcW w:w="4621" w:type="dxa"/>
            <w:shd w:val="clear" w:color="auto" w:fill="auto"/>
            <w:vAlign w:val="center"/>
          </w:tcPr>
          <w:p w14:paraId="20A25A3E" w14:textId="7A7B6B53" w:rsidR="009F2DB7" w:rsidRPr="003D6FF0" w:rsidRDefault="00166DEA" w:rsidP="003D6FF0">
            <w:pPr>
              <w:spacing w:before="120" w:after="120"/>
              <w:jc w:val="both"/>
            </w:pPr>
            <w:r>
              <w:t>Προβολή αναφοράς μέλους</w:t>
            </w:r>
          </w:p>
        </w:tc>
        <w:tc>
          <w:tcPr>
            <w:tcW w:w="4621" w:type="dxa"/>
            <w:shd w:val="clear" w:color="auto" w:fill="auto"/>
          </w:tcPr>
          <w:p w14:paraId="0F6CAD28" w14:textId="77777777" w:rsidR="009F2DB7" w:rsidRPr="003D6FF0" w:rsidRDefault="00166DEA" w:rsidP="003D6FF0">
            <w:pPr>
              <w:spacing w:before="120" w:after="120"/>
              <w:jc w:val="both"/>
            </w:pPr>
            <w:r>
              <w:t>Προβολή αναφορών μεμονωμένων μελών. Επιπλέον, προβολή απαντήσεων των μελών στις προαιρετικές ερωτήσεις σε κάθε επίπεδο.</w:t>
            </w:r>
          </w:p>
        </w:tc>
      </w:tr>
      <w:tr w:rsidR="009F2DB7" w14:paraId="770006AC" w14:textId="77777777" w:rsidTr="003D6FF0">
        <w:tc>
          <w:tcPr>
            <w:tcW w:w="4621" w:type="dxa"/>
            <w:shd w:val="clear" w:color="auto" w:fill="auto"/>
            <w:vAlign w:val="center"/>
          </w:tcPr>
          <w:p w14:paraId="21A70508" w14:textId="54630FE5" w:rsidR="009F2DB7" w:rsidRPr="003D6FF0" w:rsidRDefault="00166DEA" w:rsidP="003D6FF0">
            <w:pPr>
              <w:spacing w:before="120" w:after="120"/>
              <w:jc w:val="both"/>
            </w:pPr>
            <w:r>
              <w:t>Προαιρετικές ερωτήσεις</w:t>
            </w:r>
          </w:p>
        </w:tc>
        <w:tc>
          <w:tcPr>
            <w:tcW w:w="4621" w:type="dxa"/>
            <w:shd w:val="clear" w:color="auto" w:fill="auto"/>
          </w:tcPr>
          <w:p w14:paraId="1F78C3E6" w14:textId="77777777" w:rsidR="009F2DB7" w:rsidRPr="003D6FF0" w:rsidRDefault="00166DEA" w:rsidP="003D6FF0">
            <w:pPr>
              <w:spacing w:before="120" w:after="120"/>
              <w:jc w:val="both"/>
            </w:pPr>
            <w:r>
              <w:t xml:space="preserve">Επιπρόσθετες ερωτήσεις που συμπληρώνονται εθελοντικά σε επίπεδο Εθνικού Συνδέσμου. </w:t>
            </w:r>
          </w:p>
        </w:tc>
      </w:tr>
      <w:tr w:rsidR="009F2DB7" w14:paraId="03D6F255" w14:textId="77777777" w:rsidTr="003D6FF0">
        <w:tc>
          <w:tcPr>
            <w:tcW w:w="4621" w:type="dxa"/>
            <w:shd w:val="clear" w:color="auto" w:fill="auto"/>
            <w:vAlign w:val="center"/>
          </w:tcPr>
          <w:p w14:paraId="570CF68F" w14:textId="13240B49" w:rsidR="009F2DB7" w:rsidRPr="003D6FF0" w:rsidRDefault="00166DEA" w:rsidP="003D6FF0">
            <w:pPr>
              <w:spacing w:before="120" w:after="120"/>
              <w:jc w:val="both"/>
            </w:pPr>
            <w:r>
              <w:lastRenderedPageBreak/>
              <w:t>Πιστοποιητικό</w:t>
            </w:r>
          </w:p>
        </w:tc>
        <w:tc>
          <w:tcPr>
            <w:tcW w:w="4621" w:type="dxa"/>
            <w:shd w:val="clear" w:color="auto" w:fill="auto"/>
          </w:tcPr>
          <w:p w14:paraId="275BB261" w14:textId="77777777" w:rsidR="009F2DB7" w:rsidRPr="003D6FF0" w:rsidRDefault="00166DEA" w:rsidP="003D6FF0">
            <w:pPr>
              <w:spacing w:before="120" w:after="120"/>
              <w:jc w:val="both"/>
            </w:pPr>
            <w:r>
              <w:t>Διατίθεται πιστοποιητικό για την ολοκλήρωση της υποβολής αναφοράς της NEPSI μετά το πέρας της περιόδου υποβολής αναφοράς.</w:t>
            </w:r>
          </w:p>
        </w:tc>
      </w:tr>
    </w:tbl>
    <w:p w14:paraId="681B581B" w14:textId="77777777" w:rsidR="002F589D" w:rsidRDefault="002F589D" w:rsidP="00A41404">
      <w:pPr>
        <w:jc w:val="both"/>
      </w:pPr>
    </w:p>
    <w:p w14:paraId="7C0FEA9B" w14:textId="68D1A2B2" w:rsidR="00A41404" w:rsidRDefault="00F66AE8" w:rsidP="00A41404">
      <w:pPr>
        <w:pStyle w:val="ListParagraph"/>
        <w:ind w:left="360"/>
        <w:jc w:val="both"/>
        <w:rPr>
          <w:b/>
          <w:bCs/>
        </w:rPr>
      </w:pPr>
    </w:p>
    <w:p w14:paraId="09A8449B" w14:textId="45EB2287" w:rsidR="002F589D" w:rsidRPr="00DC658C" w:rsidRDefault="00166DEA" w:rsidP="00A41404">
      <w:pPr>
        <w:pStyle w:val="ListParagraph"/>
        <w:numPr>
          <w:ilvl w:val="0"/>
          <w:numId w:val="1"/>
        </w:numPr>
        <w:jc w:val="both"/>
        <w:rPr>
          <w:b/>
          <w:bCs/>
        </w:rPr>
      </w:pPr>
      <w:r>
        <w:rPr>
          <w:b/>
        </w:rPr>
        <w:t>Εγγραφή/Διαχείριση μελών</w:t>
      </w:r>
    </w:p>
    <w:p w14:paraId="175CB15F" w14:textId="77777777" w:rsidR="002F589D" w:rsidRDefault="002F589D" w:rsidP="00A41404">
      <w:pPr>
        <w:jc w:val="both"/>
      </w:pPr>
    </w:p>
    <w:p w14:paraId="5A0D52CA" w14:textId="77777777" w:rsidR="00DC658C" w:rsidRPr="00DC658C" w:rsidRDefault="00166DEA" w:rsidP="00A41404">
      <w:pPr>
        <w:jc w:val="both"/>
      </w:pPr>
      <w:r>
        <w:t>Εάν ο κόμβος σας έχει προηγουμένως υποβάλει αναφορά, αυτή η ενότητα θα εμφανίζει τα υφιστάμενα μέλη στο σύστημα και θα παρέχει τη δυνατότητα επεξεργασίας των στοιχείων επικοινωνίας τους. Μπορείτε επίσης να προσθέσετε νέα μέλη και να αποστείλετε εκ νέου email εγγραφής.</w:t>
      </w:r>
    </w:p>
    <w:p w14:paraId="4C2E01F3" w14:textId="77777777" w:rsidR="00DC658C" w:rsidRDefault="00F66AE8" w:rsidP="00A41404">
      <w:pPr>
        <w:jc w:val="both"/>
      </w:pPr>
    </w:p>
    <w:p w14:paraId="1C0D96B4" w14:textId="77777777" w:rsidR="00DC658C" w:rsidRPr="00DC658C" w:rsidRDefault="00166DEA" w:rsidP="00A41404">
      <w:pPr>
        <w:jc w:val="both"/>
      </w:pPr>
      <w:r>
        <w:t>Εάν εγγράψετε ένα νέο μέλος, το σύστημα θα ψάξει να βρει εάν ο συσχετισμένος χρήστης είναι ήδη στο σύστημα. Εάν το εγγεγραμμένο μέλος είναι υφιστάμενος χρήστης, το σύστημα θα αποστείλει ένα αυτόματο email, ενημερώνοντας ότι έχει προστεθεί ένας ακόμη κόμβος στην περιοχή «my nodes» (οι κόμβοι μου). Η επιλογή γλώσσας και η μορφή ονόματος ενός χρήστη που είναι ήδη στο σύστημα θα υπερισχύουν.</w:t>
      </w:r>
    </w:p>
    <w:p w14:paraId="505B3F8C" w14:textId="77777777" w:rsidR="00DC658C" w:rsidRDefault="00F66AE8" w:rsidP="00A41404">
      <w:pPr>
        <w:jc w:val="both"/>
      </w:pPr>
    </w:p>
    <w:p w14:paraId="57A1B4A0" w14:textId="77777777" w:rsidR="00DC658C" w:rsidRPr="00DC658C" w:rsidRDefault="00166DEA" w:rsidP="00A41404">
      <w:pPr>
        <w:jc w:val="both"/>
      </w:pPr>
      <w:r>
        <w:t>Βεβαιωθείτε ότι επιλέγετε το σωστό επίπεδο εγγραφής και τη σωστή χώρα για νέα μέλη.</w:t>
      </w:r>
    </w:p>
    <w:p w14:paraId="719B4500" w14:textId="77777777" w:rsidR="00DC658C" w:rsidRDefault="00F66AE8" w:rsidP="00A41404">
      <w:pPr>
        <w:jc w:val="both"/>
      </w:pPr>
    </w:p>
    <w:p w14:paraId="6CB2F9E6" w14:textId="77777777" w:rsidR="00DC658C" w:rsidRPr="0016360A" w:rsidRDefault="00AC0EBF" w:rsidP="00A41404">
      <w:pPr>
        <w:pStyle w:val="ListParagraph"/>
        <w:numPr>
          <w:ilvl w:val="0"/>
          <w:numId w:val="1"/>
        </w:numPr>
        <w:jc w:val="both"/>
        <w:rPr>
          <w:b/>
          <w:bCs/>
        </w:rPr>
      </w:pPr>
      <w:r w:rsidRPr="0016360A">
        <w:rPr>
          <w:b/>
        </w:rPr>
        <w:t>Προαιρετικές ερωτήσεις</w:t>
      </w:r>
    </w:p>
    <w:p w14:paraId="2929D1C9" w14:textId="77777777" w:rsidR="00DC658C" w:rsidRPr="001E2DBD" w:rsidRDefault="00F66AE8" w:rsidP="00A41404">
      <w:pPr>
        <w:jc w:val="both"/>
      </w:pPr>
    </w:p>
    <w:p w14:paraId="4461CEC8" w14:textId="77777777" w:rsidR="00DC658C" w:rsidRPr="001E2DBD" w:rsidRDefault="00AC0EBF" w:rsidP="00A41404">
      <w:pPr>
        <w:jc w:val="both"/>
      </w:pPr>
      <w:r w:rsidRPr="0016360A">
        <w:t xml:space="preserve">Αυτή η ενότητα επιτρέπει στον χρήστη να συμπληρώσει περισσότερες πληροφορίες σε εθελοντική βάση. </w:t>
      </w:r>
      <w:bookmarkStart w:id="1" w:name="_Hlk27657546"/>
      <w:r w:rsidRPr="0016360A">
        <w:t xml:space="preserve">Έχετε υπόψη ότι το ηλεκτρονικό σύστημα επιτρέπει μόνο απλό κείμενο. </w:t>
      </w:r>
      <w:bookmarkEnd w:id="1"/>
      <w:r w:rsidRPr="0016360A">
        <w:t xml:space="preserve">Συνιστάται στους Ευρωπαϊκούς Κλαδικούς Συνδέσμους και στους Εθνικούς Συνδέσμους να παρακολουθούν την ηλεκτρονική αναφορά τους, επικοινωνώντας απευθείας με τον εγγραφέα τους, για την παροχή λεπτομερειών σχετικά με την εφαρμογή της SDA. </w:t>
      </w:r>
      <w:bookmarkStart w:id="2" w:name="_Hlk27657579"/>
      <w:r w:rsidRPr="0016360A">
        <w:t>Οι προαιρετικές ερωτήσεις στο επίπεδο Συνδέσμου είναι οι εξής</w:t>
      </w:r>
      <w:bookmarkEnd w:id="2"/>
      <w:r w:rsidRPr="0016360A">
        <w:t>:</w:t>
      </w:r>
    </w:p>
    <w:p w14:paraId="7746A26C" w14:textId="77777777" w:rsidR="00DC658C" w:rsidRPr="001E2DBD" w:rsidRDefault="00F66AE8" w:rsidP="00A41404">
      <w:pPr>
        <w:jc w:val="both"/>
      </w:pPr>
    </w:p>
    <w:p w14:paraId="6BD20C48" w14:textId="77777777" w:rsidR="00DC658C" w:rsidRPr="001E2DBD" w:rsidRDefault="00AC0EBF" w:rsidP="00A41404">
      <w:pPr>
        <w:numPr>
          <w:ilvl w:val="0"/>
          <w:numId w:val="7"/>
        </w:numPr>
        <w:spacing w:after="120"/>
        <w:ind w:left="714" w:hanging="357"/>
        <w:jc w:val="both"/>
      </w:pPr>
      <w:r w:rsidRPr="0016360A">
        <w:t>Υπάρχουν ιδιαίτερες εθνικές υποχρεώσεις/νομικές διατάξεις; Να συμπεριληφθούν τα Όρια Επαγγελματικής Έκθεσης, η παρακολούθηση της έκθεσης σε αναπνεύσιμο κρυσταλλικό πυριτικό, η οδηγία, το πρωτόκολλο και η μεθοδολογία που χρησιμοποιείται, ο εξοπλισμός, τα πρότυπα</w:t>
      </w:r>
    </w:p>
    <w:p w14:paraId="742E1A84" w14:textId="77777777" w:rsidR="00DC658C" w:rsidRPr="001E2DBD" w:rsidRDefault="00AC0EBF" w:rsidP="00A41404">
      <w:pPr>
        <w:numPr>
          <w:ilvl w:val="0"/>
          <w:numId w:val="7"/>
        </w:numPr>
        <w:spacing w:after="120"/>
        <w:ind w:left="714" w:hanging="357"/>
        <w:jc w:val="both"/>
      </w:pPr>
      <w:r w:rsidRPr="0016360A">
        <w:t>Μπορείτε να αναφέρετε κατ’ εκτίμηση τον αριθμό των εργαζομένων που καλύπτονται από την αναφορά σε σύγκριση με το συνολικό εργατικό δυναμικό του κλάδου;</w:t>
      </w:r>
    </w:p>
    <w:p w14:paraId="27BC3D9B" w14:textId="022920A4" w:rsidR="00DC658C" w:rsidRPr="001E2DBD" w:rsidRDefault="00AC0EBF" w:rsidP="00A41404">
      <w:pPr>
        <w:numPr>
          <w:ilvl w:val="0"/>
          <w:numId w:val="7"/>
        </w:numPr>
        <w:spacing w:after="120"/>
        <w:ind w:left="714" w:hanging="357"/>
        <w:jc w:val="both"/>
      </w:pPr>
      <w:r w:rsidRPr="0016360A">
        <w:t xml:space="preserve">Πώς </w:t>
      </w:r>
      <w:r w:rsidR="004A065E" w:rsidRPr="004A065E">
        <w:t>εμπλ</w:t>
      </w:r>
      <w:r w:rsidR="004A065E">
        <w:t>έ</w:t>
      </w:r>
      <w:r w:rsidR="004A065E" w:rsidRPr="004A065E">
        <w:t xml:space="preserve">κεται / συνεργάζεστε </w:t>
      </w:r>
      <w:r w:rsidRPr="0016360A">
        <w:t>με εταίρους σε εθνικό επίπεδο;</w:t>
      </w:r>
    </w:p>
    <w:p w14:paraId="7B941C53" w14:textId="77777777" w:rsidR="00DC658C" w:rsidRPr="0016360A" w:rsidRDefault="00AC0EBF" w:rsidP="00A41404">
      <w:pPr>
        <w:numPr>
          <w:ilvl w:val="0"/>
          <w:numId w:val="7"/>
        </w:numPr>
        <w:jc w:val="both"/>
      </w:pPr>
      <w:r w:rsidRPr="0016360A">
        <w:t>Οποιαδήποτε άλλα σχόλια</w:t>
      </w:r>
    </w:p>
    <w:p w14:paraId="7C0FA51E" w14:textId="77777777" w:rsidR="001E2DBD" w:rsidRPr="001E2DBD" w:rsidRDefault="001E2DBD" w:rsidP="00A41404">
      <w:pPr>
        <w:numPr>
          <w:ilvl w:val="0"/>
          <w:numId w:val="7"/>
        </w:numPr>
        <w:jc w:val="both"/>
      </w:pPr>
      <w:r>
        <w:t xml:space="preserve">Παρατηρήσεις για τη διαδικασία </w:t>
      </w:r>
      <w:r w:rsidR="00DF334F">
        <w:t>υποβολής</w:t>
      </w:r>
      <w:r>
        <w:t xml:space="preserve"> αναφοράς</w:t>
      </w:r>
    </w:p>
    <w:p w14:paraId="7F3E7199" w14:textId="77777777" w:rsidR="00DC658C" w:rsidRDefault="00F66AE8" w:rsidP="00A41404">
      <w:pPr>
        <w:jc w:val="both"/>
      </w:pPr>
    </w:p>
    <w:p w14:paraId="1998E49C" w14:textId="77777777" w:rsidR="00DC658C" w:rsidRPr="00DC658C" w:rsidRDefault="00166DEA" w:rsidP="00A41404">
      <w:pPr>
        <w:pStyle w:val="ListParagraph"/>
        <w:numPr>
          <w:ilvl w:val="0"/>
          <w:numId w:val="1"/>
        </w:numPr>
        <w:jc w:val="both"/>
        <w:rPr>
          <w:b/>
          <w:bCs/>
        </w:rPr>
      </w:pPr>
      <w:r>
        <w:rPr>
          <w:b/>
        </w:rPr>
        <w:t>Ολοκλήρωση της αναφοράς</w:t>
      </w:r>
    </w:p>
    <w:p w14:paraId="1986E90D" w14:textId="77777777" w:rsidR="00DC658C" w:rsidRDefault="00F66AE8" w:rsidP="00A41404">
      <w:pPr>
        <w:jc w:val="both"/>
      </w:pPr>
    </w:p>
    <w:p w14:paraId="67A749EC" w14:textId="77777777" w:rsidR="00DC658C" w:rsidRDefault="00166DEA" w:rsidP="00A41404">
      <w:pPr>
        <w:jc w:val="both"/>
      </w:pPr>
      <w:r>
        <w:t xml:space="preserve">Θα έχετε επίσης την επιλογή να εκτυπώσετε ένα πιστοποιητικό, το οποίο επιβεβαιώνει την ολοκλήρωση της αναφοράς της NEPSI, μετά το πέρας της περιόδου υποβολής αναφοράς. </w:t>
      </w:r>
      <w:bookmarkStart w:id="3" w:name="_Hlk27660810"/>
      <w:r>
        <w:t>Θα ειδοποιηθείτε μέσω ενός αυτόματου email, μόλις καταστεί διαθέσιμη η δυνατότητα εκτύπωσης του πιστοποιητικού.</w:t>
      </w:r>
      <w:bookmarkEnd w:id="3"/>
    </w:p>
    <w:p w14:paraId="17CBD767" w14:textId="77777777" w:rsidR="00DC658C" w:rsidRDefault="00F66AE8" w:rsidP="00A41404">
      <w:pPr>
        <w:jc w:val="both"/>
      </w:pPr>
    </w:p>
    <w:p w14:paraId="021336C8" w14:textId="77777777" w:rsidR="00DC658C" w:rsidRPr="00DC658C" w:rsidRDefault="00166DEA" w:rsidP="00A41404">
      <w:pPr>
        <w:pStyle w:val="ListParagraph"/>
        <w:numPr>
          <w:ilvl w:val="0"/>
          <w:numId w:val="1"/>
        </w:numPr>
        <w:jc w:val="both"/>
        <w:rPr>
          <w:b/>
          <w:bCs/>
        </w:rPr>
      </w:pPr>
      <w:r>
        <w:rPr>
          <w:b/>
        </w:rPr>
        <w:t>Συστάσεις προς τα μέλη</w:t>
      </w:r>
    </w:p>
    <w:p w14:paraId="36293826" w14:textId="77777777" w:rsidR="00DC658C" w:rsidRDefault="00F66AE8" w:rsidP="00A41404">
      <w:pPr>
        <w:jc w:val="both"/>
      </w:pPr>
    </w:p>
    <w:p w14:paraId="665BEB10" w14:textId="77777777" w:rsidR="00DC658C" w:rsidRPr="00DC658C" w:rsidRDefault="00166DEA" w:rsidP="00A41404">
      <w:pPr>
        <w:jc w:val="both"/>
      </w:pPr>
      <w:r>
        <w:t>Σε όλες τις ερωτήσεις υπάρχει επεξηγηματική σημείωση, η οποία είναι διαθέσιμη στο κουμπί «Help» (Βοήθεια)</w:t>
      </w:r>
    </w:p>
    <w:p w14:paraId="6F55ACCF" w14:textId="77777777" w:rsidR="00DC658C" w:rsidRDefault="00F66AE8" w:rsidP="00A41404">
      <w:pPr>
        <w:jc w:val="both"/>
      </w:pPr>
    </w:p>
    <w:p w14:paraId="44D385E6" w14:textId="77777777" w:rsidR="00DC658C" w:rsidRDefault="00166DEA" w:rsidP="00A41404">
      <w:pPr>
        <w:jc w:val="both"/>
      </w:pPr>
      <w:r>
        <w:t>Ζητήστε από τα μέλη σας να ελέγχουν τον φάκελο των ανεπιθύμητων μηνυμάτων, εάν δεν έχουν λάβει ακόμη πρόσκληση για την υποβολή αναφοράς των ΚΡΙ της NEPSI.</w:t>
      </w:r>
    </w:p>
    <w:p w14:paraId="01C49669" w14:textId="77777777" w:rsidR="00DC658C" w:rsidRDefault="00F66AE8" w:rsidP="00A41404">
      <w:pPr>
        <w:jc w:val="both"/>
      </w:pPr>
    </w:p>
    <w:p w14:paraId="6DCAE30E" w14:textId="77777777" w:rsidR="00DC658C" w:rsidRPr="00DC658C" w:rsidRDefault="00166DEA" w:rsidP="00A41404">
      <w:pPr>
        <w:pStyle w:val="ListParagraph"/>
        <w:numPr>
          <w:ilvl w:val="0"/>
          <w:numId w:val="1"/>
        </w:numPr>
        <w:jc w:val="both"/>
        <w:rPr>
          <w:b/>
          <w:bCs/>
        </w:rPr>
      </w:pPr>
      <w:r>
        <w:rPr>
          <w:b/>
        </w:rPr>
        <w:t>Ερωτήσεις και τεχνικά προβλήματα</w:t>
      </w:r>
    </w:p>
    <w:p w14:paraId="1B7570AC" w14:textId="77777777" w:rsidR="00DC658C" w:rsidRDefault="00F66AE8" w:rsidP="00A41404">
      <w:pPr>
        <w:jc w:val="both"/>
      </w:pPr>
    </w:p>
    <w:p w14:paraId="03704623" w14:textId="77777777" w:rsidR="00DC658C" w:rsidRDefault="00166DEA" w:rsidP="00A41404">
      <w:pPr>
        <w:jc w:val="both"/>
      </w:pPr>
      <w:r>
        <w:t xml:space="preserve">Για τυχόν ερωτήσεις και τεχνικά προβλήματα, επικοινωνήστε με τον Ευρωπαϊκό Σύνδεσμό σας ή με το Γραφείο Υποστήριξης της NEPSI, David Yelland στη διεύθυνση </w:t>
      </w:r>
      <w:hyperlink r:id="rId11" w:history="1">
        <w:r>
          <w:rPr>
            <w:rStyle w:val="Hyperlink"/>
          </w:rPr>
          <w:t>helpdesk@nepsidata.com</w:t>
        </w:r>
      </w:hyperlink>
      <w:r>
        <w:t>.</w:t>
      </w:r>
    </w:p>
    <w:p w14:paraId="053F636B" w14:textId="77777777" w:rsidR="00A41404" w:rsidRDefault="00F66AE8" w:rsidP="00A41404">
      <w:pPr>
        <w:jc w:val="both"/>
      </w:pPr>
    </w:p>
    <w:sectPr w:rsidR="00A41404" w:rsidSect="00AC0EB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9FFF3" w14:textId="77777777" w:rsidR="00FE0887" w:rsidRDefault="00FE0887" w:rsidP="002F589D">
      <w:r>
        <w:separator/>
      </w:r>
    </w:p>
  </w:endnote>
  <w:endnote w:type="continuationSeparator" w:id="0">
    <w:p w14:paraId="4C1D62FF" w14:textId="77777777" w:rsidR="00FE0887" w:rsidRDefault="00FE0887" w:rsidP="002F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A1B37" w14:textId="77777777" w:rsidR="00FE0887" w:rsidRDefault="00FE0887" w:rsidP="002F589D">
      <w:r>
        <w:separator/>
      </w:r>
    </w:p>
  </w:footnote>
  <w:footnote w:type="continuationSeparator" w:id="0">
    <w:p w14:paraId="67408C52" w14:textId="77777777" w:rsidR="00FE0887" w:rsidRDefault="00FE0887" w:rsidP="002F5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AB5B7" w14:textId="77777777" w:rsidR="002F589D" w:rsidRDefault="001E2DBD" w:rsidP="002F589D">
    <w:pPr>
      <w:pStyle w:val="Header"/>
      <w:tabs>
        <w:tab w:val="clear" w:pos="4513"/>
      </w:tabs>
    </w:pPr>
    <w:r>
      <w:rPr>
        <w:noProof/>
      </w:rPr>
      <w:drawing>
        <wp:inline distT="0" distB="0" distL="0" distR="0" wp14:anchorId="6E0A9785" wp14:editId="2763BC42">
          <wp:extent cx="1077595" cy="726440"/>
          <wp:effectExtent l="19050" t="0" r="8255" b="0"/>
          <wp:docPr id="2" name="Picture 1" descr="SiO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O2-4"/>
                  <pic:cNvPicPr>
                    <a:picLocks noChangeAspect="1" noChangeArrowheads="1"/>
                  </pic:cNvPicPr>
                </pic:nvPicPr>
                <pic:blipFill>
                  <a:blip r:embed="rId1"/>
                  <a:srcRect/>
                  <a:stretch>
                    <a:fillRect/>
                  </a:stretch>
                </pic:blipFill>
                <pic:spPr bwMode="auto">
                  <a:xfrm>
                    <a:off x="0" y="0"/>
                    <a:ext cx="1077595" cy="726440"/>
                  </a:xfrm>
                  <a:prstGeom prst="rect">
                    <a:avLst/>
                  </a:prstGeom>
                  <a:noFill/>
                  <a:ln w="9525">
                    <a:noFill/>
                    <a:miter lim="800000"/>
                    <a:headEnd/>
                    <a:tailEnd/>
                  </a:ln>
                </pic:spPr>
              </pic:pic>
            </a:graphicData>
          </a:graphic>
        </wp:inline>
      </w:drawing>
    </w:r>
    <w:r w:rsidR="00166DEA">
      <w:t xml:space="preserve"> </w:t>
    </w:r>
    <w:r w:rsidR="00166DEA">
      <w:tab/>
      <w:t>Ιανουάριος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C755D"/>
    <w:multiLevelType w:val="hybridMultilevel"/>
    <w:tmpl w:val="78DC23B2"/>
    <w:lvl w:ilvl="0" w:tplc="4156F71A">
      <w:start w:val="1"/>
      <w:numFmt w:val="bullet"/>
      <w:lvlText w:val=""/>
      <w:lvlJc w:val="left"/>
      <w:pPr>
        <w:ind w:left="720" w:hanging="360"/>
      </w:pPr>
      <w:rPr>
        <w:rFonts w:ascii="Symbol" w:hAnsi="Symbol" w:hint="default"/>
      </w:rPr>
    </w:lvl>
    <w:lvl w:ilvl="1" w:tplc="23A0025E" w:tentative="1">
      <w:start w:val="1"/>
      <w:numFmt w:val="bullet"/>
      <w:lvlText w:val="o"/>
      <w:lvlJc w:val="left"/>
      <w:pPr>
        <w:ind w:left="1440" w:hanging="360"/>
      </w:pPr>
      <w:rPr>
        <w:rFonts w:ascii="Courier New" w:hAnsi="Courier New" w:cs="Courier New" w:hint="default"/>
      </w:rPr>
    </w:lvl>
    <w:lvl w:ilvl="2" w:tplc="162CD75A" w:tentative="1">
      <w:start w:val="1"/>
      <w:numFmt w:val="bullet"/>
      <w:lvlText w:val=""/>
      <w:lvlJc w:val="left"/>
      <w:pPr>
        <w:ind w:left="2160" w:hanging="360"/>
      </w:pPr>
      <w:rPr>
        <w:rFonts w:ascii="Wingdings" w:hAnsi="Wingdings" w:hint="default"/>
      </w:rPr>
    </w:lvl>
    <w:lvl w:ilvl="3" w:tplc="39A61F82" w:tentative="1">
      <w:start w:val="1"/>
      <w:numFmt w:val="bullet"/>
      <w:lvlText w:val=""/>
      <w:lvlJc w:val="left"/>
      <w:pPr>
        <w:ind w:left="2880" w:hanging="360"/>
      </w:pPr>
      <w:rPr>
        <w:rFonts w:ascii="Symbol" w:hAnsi="Symbol" w:hint="default"/>
      </w:rPr>
    </w:lvl>
    <w:lvl w:ilvl="4" w:tplc="445CD7CC" w:tentative="1">
      <w:start w:val="1"/>
      <w:numFmt w:val="bullet"/>
      <w:lvlText w:val="o"/>
      <w:lvlJc w:val="left"/>
      <w:pPr>
        <w:ind w:left="3600" w:hanging="360"/>
      </w:pPr>
      <w:rPr>
        <w:rFonts w:ascii="Courier New" w:hAnsi="Courier New" w:cs="Courier New" w:hint="default"/>
      </w:rPr>
    </w:lvl>
    <w:lvl w:ilvl="5" w:tplc="48EAD132" w:tentative="1">
      <w:start w:val="1"/>
      <w:numFmt w:val="bullet"/>
      <w:lvlText w:val=""/>
      <w:lvlJc w:val="left"/>
      <w:pPr>
        <w:ind w:left="4320" w:hanging="360"/>
      </w:pPr>
      <w:rPr>
        <w:rFonts w:ascii="Wingdings" w:hAnsi="Wingdings" w:hint="default"/>
      </w:rPr>
    </w:lvl>
    <w:lvl w:ilvl="6" w:tplc="2962D87A" w:tentative="1">
      <w:start w:val="1"/>
      <w:numFmt w:val="bullet"/>
      <w:lvlText w:val=""/>
      <w:lvlJc w:val="left"/>
      <w:pPr>
        <w:ind w:left="5040" w:hanging="360"/>
      </w:pPr>
      <w:rPr>
        <w:rFonts w:ascii="Symbol" w:hAnsi="Symbol" w:hint="default"/>
      </w:rPr>
    </w:lvl>
    <w:lvl w:ilvl="7" w:tplc="62B63C5A" w:tentative="1">
      <w:start w:val="1"/>
      <w:numFmt w:val="bullet"/>
      <w:lvlText w:val="o"/>
      <w:lvlJc w:val="left"/>
      <w:pPr>
        <w:ind w:left="5760" w:hanging="360"/>
      </w:pPr>
      <w:rPr>
        <w:rFonts w:ascii="Courier New" w:hAnsi="Courier New" w:cs="Courier New" w:hint="default"/>
      </w:rPr>
    </w:lvl>
    <w:lvl w:ilvl="8" w:tplc="AD82D56A" w:tentative="1">
      <w:start w:val="1"/>
      <w:numFmt w:val="bullet"/>
      <w:lvlText w:val=""/>
      <w:lvlJc w:val="left"/>
      <w:pPr>
        <w:ind w:left="6480" w:hanging="360"/>
      </w:pPr>
      <w:rPr>
        <w:rFonts w:ascii="Wingdings" w:hAnsi="Wingdings" w:hint="default"/>
      </w:rPr>
    </w:lvl>
  </w:abstractNum>
  <w:abstractNum w:abstractNumId="1" w15:restartNumberingAfterBreak="0">
    <w:nsid w:val="2A5547BB"/>
    <w:multiLevelType w:val="hybridMultilevel"/>
    <w:tmpl w:val="307087EA"/>
    <w:lvl w:ilvl="0" w:tplc="5CF6D5F2">
      <w:start w:val="1"/>
      <w:numFmt w:val="decimal"/>
      <w:lvlText w:val="%1."/>
      <w:lvlJc w:val="left"/>
      <w:pPr>
        <w:ind w:left="720" w:hanging="360"/>
      </w:pPr>
    </w:lvl>
    <w:lvl w:ilvl="1" w:tplc="41607FE0" w:tentative="1">
      <w:start w:val="1"/>
      <w:numFmt w:val="lowerLetter"/>
      <w:lvlText w:val="%2."/>
      <w:lvlJc w:val="left"/>
      <w:pPr>
        <w:ind w:left="1440" w:hanging="360"/>
      </w:pPr>
    </w:lvl>
    <w:lvl w:ilvl="2" w:tplc="20F48914" w:tentative="1">
      <w:start w:val="1"/>
      <w:numFmt w:val="lowerRoman"/>
      <w:lvlText w:val="%3."/>
      <w:lvlJc w:val="right"/>
      <w:pPr>
        <w:ind w:left="2160" w:hanging="180"/>
      </w:pPr>
    </w:lvl>
    <w:lvl w:ilvl="3" w:tplc="61F09338" w:tentative="1">
      <w:start w:val="1"/>
      <w:numFmt w:val="decimal"/>
      <w:lvlText w:val="%4."/>
      <w:lvlJc w:val="left"/>
      <w:pPr>
        <w:ind w:left="2880" w:hanging="360"/>
      </w:pPr>
    </w:lvl>
    <w:lvl w:ilvl="4" w:tplc="3E9AF638" w:tentative="1">
      <w:start w:val="1"/>
      <w:numFmt w:val="lowerLetter"/>
      <w:lvlText w:val="%5."/>
      <w:lvlJc w:val="left"/>
      <w:pPr>
        <w:ind w:left="3600" w:hanging="360"/>
      </w:pPr>
    </w:lvl>
    <w:lvl w:ilvl="5" w:tplc="480ECC40" w:tentative="1">
      <w:start w:val="1"/>
      <w:numFmt w:val="lowerRoman"/>
      <w:lvlText w:val="%6."/>
      <w:lvlJc w:val="right"/>
      <w:pPr>
        <w:ind w:left="4320" w:hanging="180"/>
      </w:pPr>
    </w:lvl>
    <w:lvl w:ilvl="6" w:tplc="30E639C2" w:tentative="1">
      <w:start w:val="1"/>
      <w:numFmt w:val="decimal"/>
      <w:lvlText w:val="%7."/>
      <w:lvlJc w:val="left"/>
      <w:pPr>
        <w:ind w:left="5040" w:hanging="360"/>
      </w:pPr>
    </w:lvl>
    <w:lvl w:ilvl="7" w:tplc="45BC8D0E" w:tentative="1">
      <w:start w:val="1"/>
      <w:numFmt w:val="lowerLetter"/>
      <w:lvlText w:val="%8."/>
      <w:lvlJc w:val="left"/>
      <w:pPr>
        <w:ind w:left="5760" w:hanging="360"/>
      </w:pPr>
    </w:lvl>
    <w:lvl w:ilvl="8" w:tplc="DDF210E2" w:tentative="1">
      <w:start w:val="1"/>
      <w:numFmt w:val="lowerRoman"/>
      <w:lvlText w:val="%9."/>
      <w:lvlJc w:val="right"/>
      <w:pPr>
        <w:ind w:left="6480" w:hanging="180"/>
      </w:pPr>
    </w:lvl>
  </w:abstractNum>
  <w:abstractNum w:abstractNumId="2" w15:restartNumberingAfterBreak="0">
    <w:nsid w:val="32EA0AB8"/>
    <w:multiLevelType w:val="hybridMultilevel"/>
    <w:tmpl w:val="D0B2F89C"/>
    <w:lvl w:ilvl="0" w:tplc="0FC66712">
      <w:start w:val="1"/>
      <w:numFmt w:val="bullet"/>
      <w:lvlText w:val=""/>
      <w:lvlJc w:val="left"/>
      <w:pPr>
        <w:ind w:left="720" w:hanging="360"/>
      </w:pPr>
      <w:rPr>
        <w:rFonts w:ascii="Symbol" w:hAnsi="Symbol" w:hint="default"/>
      </w:rPr>
    </w:lvl>
    <w:lvl w:ilvl="1" w:tplc="7E0AE236" w:tentative="1">
      <w:start w:val="1"/>
      <w:numFmt w:val="bullet"/>
      <w:lvlText w:val="o"/>
      <w:lvlJc w:val="left"/>
      <w:pPr>
        <w:ind w:left="1440" w:hanging="360"/>
      </w:pPr>
      <w:rPr>
        <w:rFonts w:ascii="Courier New" w:hAnsi="Courier New" w:cs="Courier New" w:hint="default"/>
      </w:rPr>
    </w:lvl>
    <w:lvl w:ilvl="2" w:tplc="B10EDC0C" w:tentative="1">
      <w:start w:val="1"/>
      <w:numFmt w:val="bullet"/>
      <w:lvlText w:val=""/>
      <w:lvlJc w:val="left"/>
      <w:pPr>
        <w:ind w:left="2160" w:hanging="360"/>
      </w:pPr>
      <w:rPr>
        <w:rFonts w:ascii="Wingdings" w:hAnsi="Wingdings" w:hint="default"/>
      </w:rPr>
    </w:lvl>
    <w:lvl w:ilvl="3" w:tplc="6BC0283C" w:tentative="1">
      <w:start w:val="1"/>
      <w:numFmt w:val="bullet"/>
      <w:lvlText w:val=""/>
      <w:lvlJc w:val="left"/>
      <w:pPr>
        <w:ind w:left="2880" w:hanging="360"/>
      </w:pPr>
      <w:rPr>
        <w:rFonts w:ascii="Symbol" w:hAnsi="Symbol" w:hint="default"/>
      </w:rPr>
    </w:lvl>
    <w:lvl w:ilvl="4" w:tplc="CC101900" w:tentative="1">
      <w:start w:val="1"/>
      <w:numFmt w:val="bullet"/>
      <w:lvlText w:val="o"/>
      <w:lvlJc w:val="left"/>
      <w:pPr>
        <w:ind w:left="3600" w:hanging="360"/>
      </w:pPr>
      <w:rPr>
        <w:rFonts w:ascii="Courier New" w:hAnsi="Courier New" w:cs="Courier New" w:hint="default"/>
      </w:rPr>
    </w:lvl>
    <w:lvl w:ilvl="5" w:tplc="957AD8A4" w:tentative="1">
      <w:start w:val="1"/>
      <w:numFmt w:val="bullet"/>
      <w:lvlText w:val=""/>
      <w:lvlJc w:val="left"/>
      <w:pPr>
        <w:ind w:left="4320" w:hanging="360"/>
      </w:pPr>
      <w:rPr>
        <w:rFonts w:ascii="Wingdings" w:hAnsi="Wingdings" w:hint="default"/>
      </w:rPr>
    </w:lvl>
    <w:lvl w:ilvl="6" w:tplc="9FACFD9E" w:tentative="1">
      <w:start w:val="1"/>
      <w:numFmt w:val="bullet"/>
      <w:lvlText w:val=""/>
      <w:lvlJc w:val="left"/>
      <w:pPr>
        <w:ind w:left="5040" w:hanging="360"/>
      </w:pPr>
      <w:rPr>
        <w:rFonts w:ascii="Symbol" w:hAnsi="Symbol" w:hint="default"/>
      </w:rPr>
    </w:lvl>
    <w:lvl w:ilvl="7" w:tplc="5DBEC070" w:tentative="1">
      <w:start w:val="1"/>
      <w:numFmt w:val="bullet"/>
      <w:lvlText w:val="o"/>
      <w:lvlJc w:val="left"/>
      <w:pPr>
        <w:ind w:left="5760" w:hanging="360"/>
      </w:pPr>
      <w:rPr>
        <w:rFonts w:ascii="Courier New" w:hAnsi="Courier New" w:cs="Courier New" w:hint="default"/>
      </w:rPr>
    </w:lvl>
    <w:lvl w:ilvl="8" w:tplc="3C0CF378" w:tentative="1">
      <w:start w:val="1"/>
      <w:numFmt w:val="bullet"/>
      <w:lvlText w:val=""/>
      <w:lvlJc w:val="left"/>
      <w:pPr>
        <w:ind w:left="6480" w:hanging="360"/>
      </w:pPr>
      <w:rPr>
        <w:rFonts w:ascii="Wingdings" w:hAnsi="Wingdings" w:hint="default"/>
      </w:rPr>
    </w:lvl>
  </w:abstractNum>
  <w:abstractNum w:abstractNumId="3" w15:restartNumberingAfterBreak="0">
    <w:nsid w:val="3E951810"/>
    <w:multiLevelType w:val="hybridMultilevel"/>
    <w:tmpl w:val="9DEC1800"/>
    <w:lvl w:ilvl="0" w:tplc="A1388972">
      <w:start w:val="1"/>
      <w:numFmt w:val="upperRoman"/>
      <w:lvlText w:val="%1."/>
      <w:lvlJc w:val="left"/>
      <w:pPr>
        <w:ind w:left="720" w:hanging="360"/>
      </w:pPr>
      <w:rPr>
        <w:rFonts w:hint="default"/>
      </w:rPr>
    </w:lvl>
    <w:lvl w:ilvl="1" w:tplc="5B58BE66" w:tentative="1">
      <w:start w:val="1"/>
      <w:numFmt w:val="lowerLetter"/>
      <w:lvlText w:val="%2."/>
      <w:lvlJc w:val="left"/>
      <w:pPr>
        <w:ind w:left="1440" w:hanging="360"/>
      </w:pPr>
    </w:lvl>
    <w:lvl w:ilvl="2" w:tplc="BF14147A" w:tentative="1">
      <w:start w:val="1"/>
      <w:numFmt w:val="lowerRoman"/>
      <w:lvlText w:val="%3."/>
      <w:lvlJc w:val="right"/>
      <w:pPr>
        <w:ind w:left="2160" w:hanging="180"/>
      </w:pPr>
    </w:lvl>
    <w:lvl w:ilvl="3" w:tplc="E2624B0E" w:tentative="1">
      <w:start w:val="1"/>
      <w:numFmt w:val="decimal"/>
      <w:lvlText w:val="%4."/>
      <w:lvlJc w:val="left"/>
      <w:pPr>
        <w:ind w:left="2880" w:hanging="360"/>
      </w:pPr>
    </w:lvl>
    <w:lvl w:ilvl="4" w:tplc="C7686B5A" w:tentative="1">
      <w:start w:val="1"/>
      <w:numFmt w:val="lowerLetter"/>
      <w:lvlText w:val="%5."/>
      <w:lvlJc w:val="left"/>
      <w:pPr>
        <w:ind w:left="3600" w:hanging="360"/>
      </w:pPr>
    </w:lvl>
    <w:lvl w:ilvl="5" w:tplc="E0443ABE" w:tentative="1">
      <w:start w:val="1"/>
      <w:numFmt w:val="lowerRoman"/>
      <w:lvlText w:val="%6."/>
      <w:lvlJc w:val="right"/>
      <w:pPr>
        <w:ind w:left="4320" w:hanging="180"/>
      </w:pPr>
    </w:lvl>
    <w:lvl w:ilvl="6" w:tplc="DC925784" w:tentative="1">
      <w:start w:val="1"/>
      <w:numFmt w:val="decimal"/>
      <w:lvlText w:val="%7."/>
      <w:lvlJc w:val="left"/>
      <w:pPr>
        <w:ind w:left="5040" w:hanging="360"/>
      </w:pPr>
    </w:lvl>
    <w:lvl w:ilvl="7" w:tplc="FC42068A" w:tentative="1">
      <w:start w:val="1"/>
      <w:numFmt w:val="lowerLetter"/>
      <w:lvlText w:val="%8."/>
      <w:lvlJc w:val="left"/>
      <w:pPr>
        <w:ind w:left="5760" w:hanging="360"/>
      </w:pPr>
    </w:lvl>
    <w:lvl w:ilvl="8" w:tplc="25C08E3C" w:tentative="1">
      <w:start w:val="1"/>
      <w:numFmt w:val="lowerRoman"/>
      <w:lvlText w:val="%9."/>
      <w:lvlJc w:val="right"/>
      <w:pPr>
        <w:ind w:left="6480" w:hanging="180"/>
      </w:pPr>
    </w:lvl>
  </w:abstractNum>
  <w:abstractNum w:abstractNumId="4" w15:restartNumberingAfterBreak="0">
    <w:nsid w:val="54E64562"/>
    <w:multiLevelType w:val="hybridMultilevel"/>
    <w:tmpl w:val="235A9AC4"/>
    <w:lvl w:ilvl="0" w:tplc="7BE21FB6">
      <w:start w:val="1"/>
      <w:numFmt w:val="bullet"/>
      <w:lvlText w:val=""/>
      <w:lvlJc w:val="left"/>
      <w:pPr>
        <w:ind w:left="720" w:hanging="360"/>
      </w:pPr>
      <w:rPr>
        <w:rFonts w:ascii="Wingdings" w:hAnsi="Wingdings" w:hint="default"/>
      </w:rPr>
    </w:lvl>
    <w:lvl w:ilvl="1" w:tplc="02225054" w:tentative="1">
      <w:start w:val="1"/>
      <w:numFmt w:val="bullet"/>
      <w:lvlText w:val="o"/>
      <w:lvlJc w:val="left"/>
      <w:pPr>
        <w:ind w:left="1440" w:hanging="360"/>
      </w:pPr>
      <w:rPr>
        <w:rFonts w:ascii="Courier New" w:hAnsi="Courier New" w:cs="Courier New" w:hint="default"/>
      </w:rPr>
    </w:lvl>
    <w:lvl w:ilvl="2" w:tplc="F72A87D2" w:tentative="1">
      <w:start w:val="1"/>
      <w:numFmt w:val="bullet"/>
      <w:lvlText w:val=""/>
      <w:lvlJc w:val="left"/>
      <w:pPr>
        <w:ind w:left="2160" w:hanging="360"/>
      </w:pPr>
      <w:rPr>
        <w:rFonts w:ascii="Wingdings" w:hAnsi="Wingdings" w:hint="default"/>
      </w:rPr>
    </w:lvl>
    <w:lvl w:ilvl="3" w:tplc="1B722A50" w:tentative="1">
      <w:start w:val="1"/>
      <w:numFmt w:val="bullet"/>
      <w:lvlText w:val=""/>
      <w:lvlJc w:val="left"/>
      <w:pPr>
        <w:ind w:left="2880" w:hanging="360"/>
      </w:pPr>
      <w:rPr>
        <w:rFonts w:ascii="Symbol" w:hAnsi="Symbol" w:hint="default"/>
      </w:rPr>
    </w:lvl>
    <w:lvl w:ilvl="4" w:tplc="B1C8E80C" w:tentative="1">
      <w:start w:val="1"/>
      <w:numFmt w:val="bullet"/>
      <w:lvlText w:val="o"/>
      <w:lvlJc w:val="left"/>
      <w:pPr>
        <w:ind w:left="3600" w:hanging="360"/>
      </w:pPr>
      <w:rPr>
        <w:rFonts w:ascii="Courier New" w:hAnsi="Courier New" w:cs="Courier New" w:hint="default"/>
      </w:rPr>
    </w:lvl>
    <w:lvl w:ilvl="5" w:tplc="B818F392" w:tentative="1">
      <w:start w:val="1"/>
      <w:numFmt w:val="bullet"/>
      <w:lvlText w:val=""/>
      <w:lvlJc w:val="left"/>
      <w:pPr>
        <w:ind w:left="4320" w:hanging="360"/>
      </w:pPr>
      <w:rPr>
        <w:rFonts w:ascii="Wingdings" w:hAnsi="Wingdings" w:hint="default"/>
      </w:rPr>
    </w:lvl>
    <w:lvl w:ilvl="6" w:tplc="AA6A3820" w:tentative="1">
      <w:start w:val="1"/>
      <w:numFmt w:val="bullet"/>
      <w:lvlText w:val=""/>
      <w:lvlJc w:val="left"/>
      <w:pPr>
        <w:ind w:left="5040" w:hanging="360"/>
      </w:pPr>
      <w:rPr>
        <w:rFonts w:ascii="Symbol" w:hAnsi="Symbol" w:hint="default"/>
      </w:rPr>
    </w:lvl>
    <w:lvl w:ilvl="7" w:tplc="92AEACE4" w:tentative="1">
      <w:start w:val="1"/>
      <w:numFmt w:val="bullet"/>
      <w:lvlText w:val="o"/>
      <w:lvlJc w:val="left"/>
      <w:pPr>
        <w:ind w:left="5760" w:hanging="360"/>
      </w:pPr>
      <w:rPr>
        <w:rFonts w:ascii="Courier New" w:hAnsi="Courier New" w:cs="Courier New" w:hint="default"/>
      </w:rPr>
    </w:lvl>
    <w:lvl w:ilvl="8" w:tplc="13ECBD12" w:tentative="1">
      <w:start w:val="1"/>
      <w:numFmt w:val="bullet"/>
      <w:lvlText w:val=""/>
      <w:lvlJc w:val="left"/>
      <w:pPr>
        <w:ind w:left="6480" w:hanging="360"/>
      </w:pPr>
      <w:rPr>
        <w:rFonts w:ascii="Wingdings" w:hAnsi="Wingdings" w:hint="default"/>
      </w:rPr>
    </w:lvl>
  </w:abstractNum>
  <w:abstractNum w:abstractNumId="5" w15:restartNumberingAfterBreak="0">
    <w:nsid w:val="5DB93C19"/>
    <w:multiLevelType w:val="hybridMultilevel"/>
    <w:tmpl w:val="CFE629C0"/>
    <w:lvl w:ilvl="0" w:tplc="5BB802A6">
      <w:start w:val="1"/>
      <w:numFmt w:val="upperLetter"/>
      <w:lvlText w:val="%1."/>
      <w:lvlJc w:val="left"/>
      <w:pPr>
        <w:ind w:left="720" w:hanging="360"/>
      </w:pPr>
    </w:lvl>
    <w:lvl w:ilvl="1" w:tplc="DC36A790" w:tentative="1">
      <w:start w:val="1"/>
      <w:numFmt w:val="lowerLetter"/>
      <w:lvlText w:val="%2."/>
      <w:lvlJc w:val="left"/>
      <w:pPr>
        <w:ind w:left="1440" w:hanging="360"/>
      </w:pPr>
    </w:lvl>
    <w:lvl w:ilvl="2" w:tplc="A844C6A0" w:tentative="1">
      <w:start w:val="1"/>
      <w:numFmt w:val="lowerRoman"/>
      <w:lvlText w:val="%3."/>
      <w:lvlJc w:val="right"/>
      <w:pPr>
        <w:ind w:left="2160" w:hanging="180"/>
      </w:pPr>
    </w:lvl>
    <w:lvl w:ilvl="3" w:tplc="75329E36" w:tentative="1">
      <w:start w:val="1"/>
      <w:numFmt w:val="decimal"/>
      <w:lvlText w:val="%4."/>
      <w:lvlJc w:val="left"/>
      <w:pPr>
        <w:ind w:left="2880" w:hanging="360"/>
      </w:pPr>
    </w:lvl>
    <w:lvl w:ilvl="4" w:tplc="117AD830" w:tentative="1">
      <w:start w:val="1"/>
      <w:numFmt w:val="lowerLetter"/>
      <w:lvlText w:val="%5."/>
      <w:lvlJc w:val="left"/>
      <w:pPr>
        <w:ind w:left="3600" w:hanging="360"/>
      </w:pPr>
    </w:lvl>
    <w:lvl w:ilvl="5" w:tplc="4DB44000" w:tentative="1">
      <w:start w:val="1"/>
      <w:numFmt w:val="lowerRoman"/>
      <w:lvlText w:val="%6."/>
      <w:lvlJc w:val="right"/>
      <w:pPr>
        <w:ind w:left="4320" w:hanging="180"/>
      </w:pPr>
    </w:lvl>
    <w:lvl w:ilvl="6" w:tplc="C884F1EA" w:tentative="1">
      <w:start w:val="1"/>
      <w:numFmt w:val="decimal"/>
      <w:lvlText w:val="%7."/>
      <w:lvlJc w:val="left"/>
      <w:pPr>
        <w:ind w:left="5040" w:hanging="360"/>
      </w:pPr>
    </w:lvl>
    <w:lvl w:ilvl="7" w:tplc="5AE0AC9E" w:tentative="1">
      <w:start w:val="1"/>
      <w:numFmt w:val="lowerLetter"/>
      <w:lvlText w:val="%8."/>
      <w:lvlJc w:val="left"/>
      <w:pPr>
        <w:ind w:left="5760" w:hanging="360"/>
      </w:pPr>
    </w:lvl>
    <w:lvl w:ilvl="8" w:tplc="B928C808" w:tentative="1">
      <w:start w:val="1"/>
      <w:numFmt w:val="lowerRoman"/>
      <w:lvlText w:val="%9."/>
      <w:lvlJc w:val="right"/>
      <w:pPr>
        <w:ind w:left="6480" w:hanging="180"/>
      </w:pPr>
    </w:lvl>
  </w:abstractNum>
  <w:abstractNum w:abstractNumId="6" w15:restartNumberingAfterBreak="0">
    <w:nsid w:val="600450A7"/>
    <w:multiLevelType w:val="hybridMultilevel"/>
    <w:tmpl w:val="B854F740"/>
    <w:lvl w:ilvl="0" w:tplc="1ECA8E0C">
      <w:start w:val="1"/>
      <w:numFmt w:val="bullet"/>
      <w:lvlText w:val=""/>
      <w:lvlJc w:val="left"/>
      <w:pPr>
        <w:ind w:left="720" w:hanging="360"/>
      </w:pPr>
      <w:rPr>
        <w:rFonts w:ascii="Symbol" w:hAnsi="Symbol" w:hint="default"/>
      </w:rPr>
    </w:lvl>
    <w:lvl w:ilvl="1" w:tplc="C89A74A8" w:tentative="1">
      <w:start w:val="1"/>
      <w:numFmt w:val="bullet"/>
      <w:lvlText w:val="o"/>
      <w:lvlJc w:val="left"/>
      <w:pPr>
        <w:ind w:left="1440" w:hanging="360"/>
      </w:pPr>
      <w:rPr>
        <w:rFonts w:ascii="Courier New" w:hAnsi="Courier New" w:cs="Courier New" w:hint="default"/>
      </w:rPr>
    </w:lvl>
    <w:lvl w:ilvl="2" w:tplc="D1462730" w:tentative="1">
      <w:start w:val="1"/>
      <w:numFmt w:val="bullet"/>
      <w:lvlText w:val=""/>
      <w:lvlJc w:val="left"/>
      <w:pPr>
        <w:ind w:left="2160" w:hanging="360"/>
      </w:pPr>
      <w:rPr>
        <w:rFonts w:ascii="Wingdings" w:hAnsi="Wingdings" w:hint="default"/>
      </w:rPr>
    </w:lvl>
    <w:lvl w:ilvl="3" w:tplc="B9E6406A" w:tentative="1">
      <w:start w:val="1"/>
      <w:numFmt w:val="bullet"/>
      <w:lvlText w:val=""/>
      <w:lvlJc w:val="left"/>
      <w:pPr>
        <w:ind w:left="2880" w:hanging="360"/>
      </w:pPr>
      <w:rPr>
        <w:rFonts w:ascii="Symbol" w:hAnsi="Symbol" w:hint="default"/>
      </w:rPr>
    </w:lvl>
    <w:lvl w:ilvl="4" w:tplc="70B8BE0A" w:tentative="1">
      <w:start w:val="1"/>
      <w:numFmt w:val="bullet"/>
      <w:lvlText w:val="o"/>
      <w:lvlJc w:val="left"/>
      <w:pPr>
        <w:ind w:left="3600" w:hanging="360"/>
      </w:pPr>
      <w:rPr>
        <w:rFonts w:ascii="Courier New" w:hAnsi="Courier New" w:cs="Courier New" w:hint="default"/>
      </w:rPr>
    </w:lvl>
    <w:lvl w:ilvl="5" w:tplc="F62E0664" w:tentative="1">
      <w:start w:val="1"/>
      <w:numFmt w:val="bullet"/>
      <w:lvlText w:val=""/>
      <w:lvlJc w:val="left"/>
      <w:pPr>
        <w:ind w:left="4320" w:hanging="360"/>
      </w:pPr>
      <w:rPr>
        <w:rFonts w:ascii="Wingdings" w:hAnsi="Wingdings" w:hint="default"/>
      </w:rPr>
    </w:lvl>
    <w:lvl w:ilvl="6" w:tplc="6A8E4498" w:tentative="1">
      <w:start w:val="1"/>
      <w:numFmt w:val="bullet"/>
      <w:lvlText w:val=""/>
      <w:lvlJc w:val="left"/>
      <w:pPr>
        <w:ind w:left="5040" w:hanging="360"/>
      </w:pPr>
      <w:rPr>
        <w:rFonts w:ascii="Symbol" w:hAnsi="Symbol" w:hint="default"/>
      </w:rPr>
    </w:lvl>
    <w:lvl w:ilvl="7" w:tplc="E4EE1F0C" w:tentative="1">
      <w:start w:val="1"/>
      <w:numFmt w:val="bullet"/>
      <w:lvlText w:val="o"/>
      <w:lvlJc w:val="left"/>
      <w:pPr>
        <w:ind w:left="5760" w:hanging="360"/>
      </w:pPr>
      <w:rPr>
        <w:rFonts w:ascii="Courier New" w:hAnsi="Courier New" w:cs="Courier New" w:hint="default"/>
      </w:rPr>
    </w:lvl>
    <w:lvl w:ilvl="8" w:tplc="524CB10C"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F589D"/>
    <w:rsid w:val="0016360A"/>
    <w:rsid w:val="00166DEA"/>
    <w:rsid w:val="001E2DBD"/>
    <w:rsid w:val="002F589D"/>
    <w:rsid w:val="004A065E"/>
    <w:rsid w:val="00A6693D"/>
    <w:rsid w:val="00AC0EBF"/>
    <w:rsid w:val="00DF334F"/>
    <w:rsid w:val="00F66AE8"/>
    <w:rsid w:val="00FC219D"/>
    <w:rsid w:val="00FE08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7AC629A3"/>
  <w15:docId w15:val="{A6670173-116E-4CD8-B265-D811AC7D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Yu Mincho" w:hAnsi="Calibri" w:cs="Arial"/>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89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89D"/>
    <w:pPr>
      <w:tabs>
        <w:tab w:val="center" w:pos="4513"/>
        <w:tab w:val="right" w:pos="9026"/>
      </w:tabs>
    </w:pPr>
  </w:style>
  <w:style w:type="character" w:customStyle="1" w:styleId="HeaderChar">
    <w:name w:val="Header Char"/>
    <w:basedOn w:val="DefaultParagraphFont"/>
    <w:link w:val="Header"/>
    <w:uiPriority w:val="99"/>
    <w:rsid w:val="002F589D"/>
  </w:style>
  <w:style w:type="paragraph" w:styleId="Footer">
    <w:name w:val="footer"/>
    <w:basedOn w:val="Normal"/>
    <w:link w:val="FooterChar"/>
    <w:uiPriority w:val="99"/>
    <w:unhideWhenUsed/>
    <w:rsid w:val="002F589D"/>
    <w:pPr>
      <w:tabs>
        <w:tab w:val="center" w:pos="4513"/>
        <w:tab w:val="right" w:pos="9026"/>
      </w:tabs>
    </w:pPr>
  </w:style>
  <w:style w:type="character" w:customStyle="1" w:styleId="FooterChar">
    <w:name w:val="Footer Char"/>
    <w:basedOn w:val="DefaultParagraphFont"/>
    <w:link w:val="Footer"/>
    <w:uiPriority w:val="99"/>
    <w:rsid w:val="002F589D"/>
  </w:style>
  <w:style w:type="paragraph" w:styleId="ListParagraph">
    <w:name w:val="List Paragraph"/>
    <w:basedOn w:val="Normal"/>
    <w:uiPriority w:val="34"/>
    <w:qFormat/>
    <w:rsid w:val="002F589D"/>
    <w:pPr>
      <w:ind w:left="720"/>
      <w:contextualSpacing/>
    </w:pPr>
  </w:style>
  <w:style w:type="character" w:styleId="Hyperlink">
    <w:name w:val="Hyperlink"/>
    <w:rsid w:val="002F589D"/>
    <w:rPr>
      <w:color w:val="0000FF"/>
      <w:u w:val="single"/>
      <w:lang w:val="el-GR" w:eastAsia="el-GR"/>
    </w:rPr>
  </w:style>
  <w:style w:type="table" w:styleId="TableGrid">
    <w:name w:val="Table Grid"/>
    <w:basedOn w:val="TableNormal"/>
    <w:uiPriority w:val="39"/>
    <w:rsid w:val="009F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DBD"/>
    <w:rPr>
      <w:rFonts w:ascii="Tahoma" w:hAnsi="Tahoma" w:cs="Tahoma"/>
      <w:sz w:val="16"/>
      <w:szCs w:val="16"/>
    </w:rPr>
  </w:style>
  <w:style w:type="character" w:customStyle="1" w:styleId="BalloonTextChar">
    <w:name w:val="Balloon Text Char"/>
    <w:basedOn w:val="DefaultParagraphFont"/>
    <w:link w:val="BalloonText"/>
    <w:uiPriority w:val="99"/>
    <w:semiHidden/>
    <w:rsid w:val="001E2D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psi.eu/good-practice-gui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psi.e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desk@nepsidata.com"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nepsi.eu/agree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Links>
    <vt:vector size="24" baseType="variant">
      <vt:variant>
        <vt:i4>7733317</vt:i4>
      </vt:variant>
      <vt:variant>
        <vt:i4>12</vt:i4>
      </vt:variant>
      <vt:variant>
        <vt:i4>0</vt:i4>
      </vt:variant>
      <vt:variant>
        <vt:i4>5</vt:i4>
      </vt:variant>
      <vt:variant>
        <vt:lpwstr>mailto:helpdesk@nepsidata.com</vt:lpwstr>
      </vt:variant>
      <vt:variant>
        <vt:lpwstr/>
      </vt:variant>
      <vt:variant>
        <vt:i4>6422652</vt:i4>
      </vt:variant>
      <vt:variant>
        <vt:i4>6</vt:i4>
      </vt:variant>
      <vt:variant>
        <vt:i4>0</vt:i4>
      </vt:variant>
      <vt:variant>
        <vt:i4>5</vt:i4>
      </vt:variant>
      <vt:variant>
        <vt:lpwstr>https://www.nepsi.eu/agreement</vt:lpwstr>
      </vt:variant>
      <vt:variant>
        <vt:lpwstr/>
      </vt:variant>
      <vt:variant>
        <vt:i4>5636172</vt:i4>
      </vt:variant>
      <vt:variant>
        <vt:i4>3</vt:i4>
      </vt:variant>
      <vt:variant>
        <vt:i4>0</vt:i4>
      </vt:variant>
      <vt:variant>
        <vt:i4>5</vt:i4>
      </vt:variant>
      <vt:variant>
        <vt:lpwstr>https://www.nepsi.eu/good-practice-guide</vt:lpwstr>
      </vt:variant>
      <vt:variant>
        <vt:lpwstr/>
      </vt:variant>
      <vt:variant>
        <vt:i4>1441821</vt:i4>
      </vt:variant>
      <vt:variant>
        <vt:i4>0</vt:i4>
      </vt:variant>
      <vt:variant>
        <vt:i4>0</vt:i4>
      </vt:variant>
      <vt:variant>
        <vt:i4>5</vt:i4>
      </vt:variant>
      <vt:variant>
        <vt:lpwstr>http://www.nepsi.eu/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Zeljko Susljic</dc:creator>
  <cp:lastModifiedBy>Antigoni Effraimidou</cp:lastModifiedBy>
  <cp:revision>8</cp:revision>
  <dcterms:created xsi:type="dcterms:W3CDTF">2020-01-10T14:58:00Z</dcterms:created>
  <dcterms:modified xsi:type="dcterms:W3CDTF">2020-01-20T08:44:00Z</dcterms:modified>
</cp:coreProperties>
</file>