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0D47" w14:textId="77777777" w:rsidR="00DE744D" w:rsidRDefault="00DE744D" w:rsidP="00A41404">
      <w:pPr>
        <w:jc w:val="both"/>
      </w:pPr>
    </w:p>
    <w:p w14:paraId="6E3619DB" w14:textId="77777777" w:rsidR="002F589D" w:rsidRDefault="002F589D" w:rsidP="00A41404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32AB" w:rsidRPr="00CB7701" w14:paraId="04FE4EA6" w14:textId="77777777" w:rsidTr="003D6FF0">
        <w:tc>
          <w:tcPr>
            <w:tcW w:w="90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D9E2F3"/>
          </w:tcPr>
          <w:p w14:paraId="2C8AE830" w14:textId="77777777" w:rsidR="002F589D" w:rsidRPr="00CB7701" w:rsidRDefault="007F32AB" w:rsidP="00A41404">
            <w:pPr>
              <w:jc w:val="center"/>
              <w:rPr>
                <w:rFonts w:ascii="Trebuchet MS" w:hAnsi="Trebuchet MS"/>
                <w:b/>
                <w:color w:val="209DFA"/>
                <w:sz w:val="28"/>
                <w:szCs w:val="28"/>
              </w:rPr>
            </w:pPr>
            <w:r w:rsidRPr="00CB7701">
              <w:rPr>
                <w:rFonts w:ascii="Trebuchet MS" w:hAnsi="Trebuchet MS"/>
                <w:b/>
                <w:color w:val="209DFA"/>
                <w:sz w:val="28"/>
                <w:szCs w:val="28"/>
              </w:rPr>
              <w:t>Uputa za izvješćivanje u skladu sa Sporazumom o socijalnom dijalogu o siliciju</w:t>
            </w:r>
          </w:p>
          <w:p w14:paraId="67FA3634" w14:textId="77777777" w:rsidR="002F589D" w:rsidRPr="00CB7701" w:rsidRDefault="007F32AB" w:rsidP="00A41404">
            <w:pPr>
              <w:jc w:val="center"/>
              <w:rPr>
                <w:rFonts w:ascii="Trebuchet MS" w:hAnsi="Trebuchet MS"/>
                <w:b/>
                <w:color w:val="209DFA"/>
                <w:sz w:val="28"/>
                <w:szCs w:val="28"/>
              </w:rPr>
            </w:pPr>
            <w:r w:rsidRPr="00CB7701">
              <w:rPr>
                <w:rFonts w:ascii="Trebuchet MS" w:hAnsi="Trebuchet MS"/>
                <w:b/>
                <w:color w:val="209DFA"/>
                <w:sz w:val="28"/>
                <w:szCs w:val="28"/>
              </w:rPr>
              <w:t>EU i Nacionalno udruženje</w:t>
            </w:r>
          </w:p>
        </w:tc>
      </w:tr>
    </w:tbl>
    <w:p w14:paraId="2B1BDD0B" w14:textId="77777777" w:rsidR="002F589D" w:rsidRPr="00CB7701" w:rsidRDefault="002F589D" w:rsidP="00A41404">
      <w:pPr>
        <w:jc w:val="both"/>
      </w:pPr>
    </w:p>
    <w:p w14:paraId="66FBC550" w14:textId="77777777" w:rsidR="002F589D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t>UVOD o NEPSI-ju i obvezi izvješćivanja</w:t>
      </w:r>
    </w:p>
    <w:p w14:paraId="63CD717E" w14:textId="77777777" w:rsidR="002F589D" w:rsidRPr="00CB7701" w:rsidRDefault="002F589D" w:rsidP="00A41404">
      <w:pPr>
        <w:jc w:val="both"/>
      </w:pPr>
    </w:p>
    <w:p w14:paraId="5B87CA09" w14:textId="77777777" w:rsidR="002F589D" w:rsidRPr="00CB7701" w:rsidRDefault="007F32AB" w:rsidP="00A41404">
      <w:pPr>
        <w:jc w:val="both"/>
      </w:pPr>
      <w:r w:rsidRPr="00CB7701">
        <w:t xml:space="preserve">Europski socijalni dijalog „Sporazum o zdravstvenoj zaštiti radnika kroz pravilno rukovanje i korištenje kristalnog silicija i proizvoda koji ga sadrže “ (Sporazum) potpisali su u travnju 2006. godine, europski zastupnici poslodavaca i zaposlenika 14 industrijskih sektora: agregati, cement, keramika, ljevaonice, proizvodnja stakla - pakiranje, ravno i specijalno staklo – industrijski minerali i proizvodnja metalnih mineralnih sirovina, mineralna vuna, prirodni kamen, proizvodnja žbuke i predgotovljenog betona. Od 2006., osim 14 navedenih industrijskih sektora Sporazumu o socijalnom dijalogu pridružili su se i proizvođači ekspandirane gline, aglomeriranog kamena, gotovih betonskih smjesa i kalcijevog silikata. Od 2019. Sporazum ima 19 potpisnika. Saznajte više o NEPSI-ju: </w:t>
      </w:r>
      <w:hyperlink r:id="rId7" w:history="1">
        <w:r w:rsidRPr="00CB7701">
          <w:rPr>
            <w:rStyle w:val="Hyperlink"/>
          </w:rPr>
          <w:t>www.nepsi.eu</w:t>
        </w:r>
      </w:hyperlink>
      <w:r w:rsidRPr="00CB7701">
        <w:t>.</w:t>
      </w:r>
    </w:p>
    <w:p w14:paraId="035E9E41" w14:textId="77777777" w:rsidR="002F589D" w:rsidRPr="00CB7701" w:rsidRDefault="002F589D" w:rsidP="00A41404">
      <w:pPr>
        <w:jc w:val="both"/>
      </w:pPr>
    </w:p>
    <w:p w14:paraId="5FE9D510" w14:textId="77777777" w:rsidR="002F589D" w:rsidRPr="00CB7701" w:rsidRDefault="007F32AB" w:rsidP="00A41404">
      <w:pPr>
        <w:jc w:val="both"/>
      </w:pPr>
      <w:r w:rsidRPr="00CB7701">
        <w:t>Potpisnici (18 trgovinskih udruženja i 1 udruženje sindikata) su se dogovorili da se kvantitativne informacije o primjeni Sporazuma unutar svakog sektora koji zastupaju prikupljaju svake dvije godine. Prvo izvješćivanje o prikupljenim informacijama provedeno je 2008.</w:t>
      </w:r>
    </w:p>
    <w:p w14:paraId="289FC285" w14:textId="77777777" w:rsidR="002F589D" w:rsidRPr="00CB7701" w:rsidRDefault="002F589D" w:rsidP="00A41404">
      <w:pPr>
        <w:jc w:val="both"/>
      </w:pPr>
    </w:p>
    <w:p w14:paraId="13F63DE3" w14:textId="77777777" w:rsidR="002F589D" w:rsidRPr="00CB7701" w:rsidRDefault="007F32AB" w:rsidP="00A41404">
      <w:pPr>
        <w:jc w:val="both"/>
      </w:pPr>
      <w:r w:rsidRPr="00CB7701">
        <w:t xml:space="preserve">Online sustav izvješćivanja omogućuje da se tvrtkama i gradilištima potpisnicima uputi poziv za dostavu informacija o ključnim pokazateljima radne uspješnosti (KPI-ovima) </w:t>
      </w:r>
      <w:hyperlink r:id="rId8" w:history="1">
        <w:r w:rsidRPr="00CB7701">
          <w:rPr>
            <w:rStyle w:val="Hyperlink"/>
          </w:rPr>
          <w:t>NEPSI</w:t>
        </w:r>
      </w:hyperlink>
      <w:r w:rsidRPr="00CB7701">
        <w:t xml:space="preserve"> u sedam različitih odjeljaka. Od podataka unesenih u sustav automatski se izračunava set KPI-ova, primjerice kako bi se ukazalo na postotak zaposlenika koji su potencijalno izloženi respirabilnim česticama kristalnog silicijeva dioksida, koje pokriva </w:t>
      </w:r>
      <w:hyperlink r:id="rId9" w:history="1">
        <w:r w:rsidRPr="00CB7701">
          <w:rPr>
            <w:rStyle w:val="Hyperlink"/>
          </w:rPr>
          <w:t>Sporazum</w:t>
        </w:r>
      </w:hyperlink>
      <w:r w:rsidRPr="00CB7701">
        <w:t>.</w:t>
      </w:r>
    </w:p>
    <w:p w14:paraId="68B0F193" w14:textId="77777777" w:rsidR="002F589D" w:rsidRPr="00CB7701" w:rsidRDefault="002F589D" w:rsidP="00A41404">
      <w:pPr>
        <w:jc w:val="both"/>
      </w:pPr>
    </w:p>
    <w:p w14:paraId="67307283" w14:textId="77777777" w:rsidR="002F589D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t>Struktura izvješćivanja</w:t>
      </w:r>
    </w:p>
    <w:p w14:paraId="48A5EAD3" w14:textId="77777777" w:rsidR="002F589D" w:rsidRPr="00CB7701" w:rsidRDefault="002F589D" w:rsidP="00A41404">
      <w:pPr>
        <w:jc w:val="both"/>
      </w:pPr>
    </w:p>
    <w:p w14:paraId="202E7553" w14:textId="77777777" w:rsidR="002F589D" w:rsidRPr="00CB7701" w:rsidRDefault="007F32AB" w:rsidP="00A41404">
      <w:pPr>
        <w:jc w:val="both"/>
      </w:pPr>
      <w:r w:rsidRPr="00CB7701">
        <w:t>Online sustav izvješćivanja korisniku omogućuje izvješćivanje na različitim razinama. Te su razine sljedeće:</w:t>
      </w:r>
    </w:p>
    <w:p w14:paraId="3157AE5F" w14:textId="77777777" w:rsidR="002F589D" w:rsidRPr="00CB7701" w:rsidRDefault="002F589D" w:rsidP="00A41404">
      <w:pPr>
        <w:jc w:val="both"/>
      </w:pPr>
    </w:p>
    <w:p w14:paraId="0BC9355A" w14:textId="77777777" w:rsidR="002F589D" w:rsidRPr="00CB7701" w:rsidRDefault="007C6F47" w:rsidP="00A41404">
      <w:pPr>
        <w:jc w:val="both"/>
      </w:pPr>
      <w:r>
        <w:pict w14:anchorId="1361C0E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251.85pt;margin-top:8.75pt;width:179.6pt;height:34.8pt;z-index:251657216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5A229957" w14:textId="77777777" w:rsidR="002F589D" w:rsidRDefault="007F32AB">
                  <w:r>
                    <w:rPr>
                      <w:color w:val="0070C0"/>
                    </w:rPr>
                    <w:t>Ovaj dokument sadrži smjernice za EU i nacionalna udruženja.</w:t>
                  </w:r>
                </w:p>
              </w:txbxContent>
            </v:textbox>
            <w10:wrap type="square"/>
          </v:shape>
        </w:pict>
      </w:r>
    </w:p>
    <w:p w14:paraId="41107212" w14:textId="77777777" w:rsidR="002F589D" w:rsidRPr="00CB7701" w:rsidRDefault="007F32AB" w:rsidP="00A41404">
      <w:pPr>
        <w:pStyle w:val="ListParagraph"/>
        <w:numPr>
          <w:ilvl w:val="0"/>
          <w:numId w:val="2"/>
        </w:numPr>
        <w:jc w:val="both"/>
        <w:rPr>
          <w:color w:val="0070C0"/>
        </w:rPr>
      </w:pPr>
      <w:r w:rsidRPr="00CB7701">
        <w:rPr>
          <w:color w:val="0070C0"/>
        </w:rPr>
        <w:t>Udruženje EU-a</w:t>
      </w:r>
    </w:p>
    <w:p w14:paraId="2EF4F51B" w14:textId="77777777" w:rsidR="002F589D" w:rsidRPr="00CB7701" w:rsidRDefault="007F32AB" w:rsidP="00A41404">
      <w:pPr>
        <w:pStyle w:val="ListParagraph"/>
        <w:numPr>
          <w:ilvl w:val="0"/>
          <w:numId w:val="2"/>
        </w:numPr>
        <w:jc w:val="both"/>
        <w:rPr>
          <w:color w:val="0070C0"/>
        </w:rPr>
      </w:pPr>
      <w:r w:rsidRPr="00CB7701">
        <w:rPr>
          <w:color w:val="0070C0"/>
        </w:rPr>
        <w:t>Nacionalno udruženje</w:t>
      </w:r>
    </w:p>
    <w:p w14:paraId="066BDB1D" w14:textId="77777777" w:rsidR="002F589D" w:rsidRPr="00CB7701" w:rsidRDefault="007F32AB" w:rsidP="00A41404">
      <w:pPr>
        <w:pStyle w:val="ListParagraph"/>
        <w:numPr>
          <w:ilvl w:val="0"/>
          <w:numId w:val="2"/>
        </w:numPr>
        <w:jc w:val="both"/>
      </w:pPr>
      <w:r w:rsidRPr="00CB7701">
        <w:t>Tvrtke</w:t>
      </w:r>
    </w:p>
    <w:p w14:paraId="72C193E4" w14:textId="77777777" w:rsidR="002F589D" w:rsidRPr="00CB7701" w:rsidRDefault="007F32AB" w:rsidP="00A41404">
      <w:pPr>
        <w:pStyle w:val="ListParagraph"/>
        <w:numPr>
          <w:ilvl w:val="0"/>
          <w:numId w:val="2"/>
        </w:numPr>
        <w:jc w:val="both"/>
      </w:pPr>
      <w:r w:rsidRPr="00CB7701">
        <w:t>Gradilište</w:t>
      </w:r>
    </w:p>
    <w:p w14:paraId="0753800D" w14:textId="77777777" w:rsidR="002F589D" w:rsidRPr="00CB7701" w:rsidRDefault="002F589D" w:rsidP="00A41404">
      <w:pPr>
        <w:jc w:val="both"/>
      </w:pPr>
    </w:p>
    <w:p w14:paraId="29642DB1" w14:textId="36517F86" w:rsidR="002F589D" w:rsidRPr="00CB7701" w:rsidRDefault="007F32AB" w:rsidP="00A41404">
      <w:pPr>
        <w:jc w:val="both"/>
      </w:pPr>
      <w:r w:rsidRPr="00CB7701">
        <w:t xml:space="preserve">Udruženja (EU i/ili nacionalna) svakako se potiču da svoje članove (tvrtke) pozovu na sudjelovanje u online </w:t>
      </w:r>
      <w:r w:rsidR="00CB7701" w:rsidRPr="00CB7701">
        <w:t>izvješćivanju</w:t>
      </w:r>
      <w:r w:rsidRPr="00CB7701">
        <w:t xml:space="preserve"> za NEPSI.</w:t>
      </w:r>
    </w:p>
    <w:p w14:paraId="0339B745" w14:textId="77777777" w:rsidR="002F589D" w:rsidRPr="00CB7701" w:rsidRDefault="002F589D" w:rsidP="00A41404">
      <w:pPr>
        <w:jc w:val="both"/>
      </w:pPr>
    </w:p>
    <w:p w14:paraId="58388EFB" w14:textId="77777777" w:rsidR="002F589D" w:rsidRPr="00CB7701" w:rsidRDefault="007F32AB" w:rsidP="00A41404">
      <w:pPr>
        <w:jc w:val="both"/>
      </w:pPr>
      <w:r w:rsidRPr="00CB7701">
        <w:t>Sljedeći broj prikaz je razina i obveza svakog sudionika na svakoj od razina (slanje poziva ili izvješćivanje o KPI-ovima za NEPSI).</w:t>
      </w:r>
    </w:p>
    <w:p w14:paraId="0CD226E1" w14:textId="77777777" w:rsidR="002F589D" w:rsidRPr="00CB7701" w:rsidRDefault="002F589D" w:rsidP="00A41404">
      <w:pPr>
        <w:jc w:val="both"/>
      </w:pPr>
    </w:p>
    <w:p w14:paraId="752A3B3C" w14:textId="77777777" w:rsidR="002F589D" w:rsidRPr="00CB7701" w:rsidRDefault="002F589D" w:rsidP="00A41404">
      <w:pPr>
        <w:jc w:val="both"/>
      </w:pPr>
    </w:p>
    <w:p w14:paraId="702F6128" w14:textId="77777777" w:rsidR="002F589D" w:rsidRPr="00CB7701" w:rsidRDefault="002F589D" w:rsidP="00A41404">
      <w:pPr>
        <w:jc w:val="both"/>
      </w:pPr>
    </w:p>
    <w:p w14:paraId="64AF3F2E" w14:textId="77777777" w:rsidR="002F589D" w:rsidRPr="00CB7701" w:rsidRDefault="002F589D" w:rsidP="00A41404">
      <w:pPr>
        <w:jc w:val="both"/>
      </w:pPr>
    </w:p>
    <w:p w14:paraId="3217A719" w14:textId="102F7D2F" w:rsidR="002F589D" w:rsidRPr="00CB7701" w:rsidRDefault="007C6F47" w:rsidP="007C6F47">
      <w:pPr>
        <w:jc w:val="center"/>
      </w:pPr>
      <w:r>
        <w:rPr>
          <w:noProof/>
        </w:rPr>
        <w:lastRenderedPageBreak/>
        <w:drawing>
          <wp:inline distT="0" distB="0" distL="0" distR="0" wp14:anchorId="73B58106" wp14:editId="44B710D3">
            <wp:extent cx="4988090" cy="2803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08" cy="280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22653" w14:textId="77777777" w:rsidR="002F589D" w:rsidRPr="00CB7701" w:rsidRDefault="002F589D" w:rsidP="00A41404">
      <w:pPr>
        <w:jc w:val="both"/>
      </w:pPr>
    </w:p>
    <w:p w14:paraId="4635197D" w14:textId="77777777" w:rsidR="002F589D" w:rsidRPr="00CB7701" w:rsidRDefault="007F32AB" w:rsidP="00A41404">
      <w:pPr>
        <w:jc w:val="both"/>
      </w:pPr>
      <w:r w:rsidRPr="00CB7701">
        <w:t>Dvije metode izvješćivanja na razini EU-a i nacionalnih udruženja opisane su u nastavku:</w:t>
      </w:r>
    </w:p>
    <w:p w14:paraId="7E1FBA5B" w14:textId="77777777" w:rsidR="002F589D" w:rsidRPr="00CB7701" w:rsidRDefault="002F589D" w:rsidP="00A41404">
      <w:pPr>
        <w:jc w:val="both"/>
      </w:pPr>
    </w:p>
    <w:p w14:paraId="223D2F1E" w14:textId="77777777" w:rsidR="002F589D" w:rsidRPr="00CB7701" w:rsidRDefault="007F32AB" w:rsidP="00A41404">
      <w:pPr>
        <w:numPr>
          <w:ilvl w:val="0"/>
          <w:numId w:val="3"/>
        </w:numPr>
        <w:jc w:val="both"/>
        <w:rPr>
          <w:b/>
          <w:bCs/>
        </w:rPr>
      </w:pPr>
      <w:r w:rsidRPr="00CB7701">
        <w:rPr>
          <w:b/>
          <w:bCs/>
        </w:rPr>
        <w:t>Gradilište</w:t>
      </w:r>
      <w:bookmarkStart w:id="0" w:name="_GoBack"/>
      <w:bookmarkEnd w:id="0"/>
    </w:p>
    <w:p w14:paraId="204567B2" w14:textId="77777777" w:rsidR="002F589D" w:rsidRPr="00CB7701" w:rsidRDefault="002F589D" w:rsidP="00A41404">
      <w:pPr>
        <w:jc w:val="both"/>
      </w:pPr>
    </w:p>
    <w:p w14:paraId="21A7CA51" w14:textId="77777777" w:rsidR="002F589D" w:rsidRPr="00CB7701" w:rsidRDefault="007F32AB" w:rsidP="00A41404">
      <w:pPr>
        <w:jc w:val="both"/>
      </w:pPr>
      <w:r w:rsidRPr="00CB7701">
        <w:t>Sustav koji je izvorno naveden u Sporazumu u pogledu izvješćivanja o KPI-ovima odnosi se na gradilišta. Ovo je i dalje poželjna metoda. Tvrtke upisuju EU sektori ili nacionalna udruženja, a tvrtke zatim upisuju svoja imenovana gradilišta.</w:t>
      </w:r>
    </w:p>
    <w:p w14:paraId="3D09572C" w14:textId="77777777" w:rsidR="002F589D" w:rsidRPr="00CB7701" w:rsidRDefault="002F589D" w:rsidP="00A41404">
      <w:pPr>
        <w:jc w:val="both"/>
      </w:pPr>
    </w:p>
    <w:p w14:paraId="2A621358" w14:textId="77777777" w:rsidR="002F589D" w:rsidRPr="00CB7701" w:rsidRDefault="007F32AB" w:rsidP="00A41404">
      <w:pPr>
        <w:numPr>
          <w:ilvl w:val="0"/>
          <w:numId w:val="3"/>
        </w:numPr>
        <w:jc w:val="both"/>
        <w:rPr>
          <w:b/>
          <w:bCs/>
        </w:rPr>
      </w:pPr>
      <w:r w:rsidRPr="00CB7701">
        <w:rPr>
          <w:b/>
          <w:bCs/>
        </w:rPr>
        <w:t>Ostale razine</w:t>
      </w:r>
    </w:p>
    <w:p w14:paraId="0F8CE113" w14:textId="77777777" w:rsidR="002F589D" w:rsidRPr="00CB7701" w:rsidRDefault="002F589D" w:rsidP="00A41404">
      <w:pPr>
        <w:jc w:val="both"/>
      </w:pPr>
    </w:p>
    <w:p w14:paraId="2AA36208" w14:textId="77777777" w:rsidR="002F589D" w:rsidRPr="00CB7701" w:rsidRDefault="007F32AB" w:rsidP="00A41404">
      <w:pPr>
        <w:jc w:val="both"/>
      </w:pPr>
      <w:r w:rsidRPr="00CB7701">
        <w:t>Sve razine mogu sve podatke svojih članova/tvrtki sakupiti izvan mreže (offline) i svoje podatke mrežno (online) unijeti u jedno izvješće.</w:t>
      </w:r>
    </w:p>
    <w:p w14:paraId="58F4955C" w14:textId="77777777" w:rsidR="002F589D" w:rsidRPr="00CB7701" w:rsidRDefault="002F589D" w:rsidP="00A41404">
      <w:pPr>
        <w:jc w:val="both"/>
      </w:pPr>
    </w:p>
    <w:p w14:paraId="3A12DD10" w14:textId="77777777" w:rsidR="002F589D" w:rsidRPr="00CB7701" w:rsidRDefault="007F32AB" w:rsidP="00A41404">
      <w:pPr>
        <w:jc w:val="both"/>
      </w:pPr>
      <w:r w:rsidRPr="00CB7701">
        <w:rPr>
          <w:b/>
          <w:bCs/>
        </w:rPr>
        <w:t>Dobrovoljno izvješćivanje</w:t>
      </w:r>
      <w:r w:rsidRPr="00CB7701">
        <w:t xml:space="preserve"> omogućeno je svim razinama, tvrtkama i gradilištima koji </w:t>
      </w:r>
      <w:r w:rsidR="00827490" w:rsidRPr="00CB7701">
        <w:t>nisu iz EU-a i koji nisu potpis</w:t>
      </w:r>
      <w:r w:rsidRPr="00CB7701">
        <w:t>nici NEPSI-ja.</w:t>
      </w:r>
    </w:p>
    <w:p w14:paraId="00B78536" w14:textId="77777777" w:rsidR="002F589D" w:rsidRPr="00CB7701" w:rsidRDefault="002F589D" w:rsidP="00A414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2AB" w:rsidRPr="00CB7701" w14:paraId="4CC41C06" w14:textId="77777777" w:rsidTr="003D6FF0">
        <w:tc>
          <w:tcPr>
            <w:tcW w:w="9242" w:type="dxa"/>
            <w:shd w:val="clear" w:color="auto" w:fill="auto"/>
          </w:tcPr>
          <w:p w14:paraId="1B7E064B" w14:textId="77777777" w:rsidR="009F2DB7" w:rsidRPr="00CB7701" w:rsidRDefault="007F32AB" w:rsidP="003D6FF0">
            <w:pPr>
              <w:jc w:val="both"/>
            </w:pPr>
            <w:r w:rsidRPr="00CB7701">
              <w:t>Sva gradilišta, bilo da na njima prašina respirabilnih čestica kristalnog silicijeva dioksida nastaje kao rezultat radnog procesa ili ne, pozivaju se na podnošenje izvješća putem sustava izvješćivanja NEPSI.</w:t>
            </w:r>
          </w:p>
        </w:tc>
      </w:tr>
    </w:tbl>
    <w:p w14:paraId="1A74010A" w14:textId="77777777" w:rsidR="002F589D" w:rsidRPr="00CB7701" w:rsidRDefault="002F589D" w:rsidP="00A41404">
      <w:pPr>
        <w:jc w:val="both"/>
      </w:pPr>
    </w:p>
    <w:p w14:paraId="6F58992C" w14:textId="77777777" w:rsidR="002F589D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t>Pristup sustavu</w:t>
      </w:r>
    </w:p>
    <w:p w14:paraId="34F92432" w14:textId="77777777" w:rsidR="002F589D" w:rsidRPr="00CB7701" w:rsidRDefault="002F589D" w:rsidP="00A41404">
      <w:pPr>
        <w:jc w:val="both"/>
      </w:pPr>
    </w:p>
    <w:p w14:paraId="54EE6BB4" w14:textId="77777777" w:rsidR="002F589D" w:rsidRPr="00CB7701" w:rsidRDefault="007F32AB" w:rsidP="00A41404">
      <w:pPr>
        <w:jc w:val="both"/>
      </w:pPr>
      <w:r w:rsidRPr="00CB7701">
        <w:t>Za pristup subjektima („čvorovima”) potrebno je „korisničko ime” (adresa e-pošte) i osobni identifikacijski broj (PIN). Ako gradilište koristite za više čvorova praktično je pristup uspostavljati jednim korisničkim imenom i PIN-om.</w:t>
      </w:r>
    </w:p>
    <w:p w14:paraId="59A6B48D" w14:textId="77777777" w:rsidR="002F589D" w:rsidRPr="00CB7701" w:rsidRDefault="002F589D" w:rsidP="00A41404">
      <w:pPr>
        <w:jc w:val="both"/>
      </w:pPr>
    </w:p>
    <w:p w14:paraId="6B696F18" w14:textId="77777777" w:rsidR="002F589D" w:rsidRPr="00CB7701" w:rsidRDefault="007F32AB" w:rsidP="00A41404">
      <w:pPr>
        <w:jc w:val="both"/>
      </w:pPr>
      <w:r w:rsidRPr="00CB7701">
        <w:t>Kod prve prijave korisnika, sustav mu automatski dostavlja hipervezu i PIN, u 2 odvojene poruke e-pošte.</w:t>
      </w:r>
    </w:p>
    <w:p w14:paraId="46D7DECF" w14:textId="77777777" w:rsidR="002F589D" w:rsidRPr="00CB7701" w:rsidRDefault="002F589D" w:rsidP="00A41404">
      <w:pPr>
        <w:jc w:val="both"/>
      </w:pPr>
    </w:p>
    <w:p w14:paraId="628B8509" w14:textId="77777777" w:rsidR="002F589D" w:rsidRPr="00CB7701" w:rsidRDefault="007F32AB" w:rsidP="00A41404">
      <w:pPr>
        <w:jc w:val="both"/>
      </w:pPr>
      <w:r w:rsidRPr="00CB7701">
        <w:t>Nakon uspješne prijave, unosite područje u kojem možete pristupati svim točkama izvješćivanja pridruženima vašem korisničkom imenu, a opcije su sljedeće:</w:t>
      </w:r>
    </w:p>
    <w:p w14:paraId="1D7BA24F" w14:textId="77777777" w:rsidR="009F2DB7" w:rsidRPr="00CB7701" w:rsidRDefault="009F2DB7" w:rsidP="00A4140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528"/>
        <w:gridCol w:w="1985"/>
        <w:gridCol w:w="567"/>
        <w:gridCol w:w="2268"/>
      </w:tblGrid>
      <w:tr w:rsidR="007F32AB" w:rsidRPr="00CB7701" w14:paraId="1C702D3B" w14:textId="77777777" w:rsidTr="003D6FF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3BA" w14:textId="77777777" w:rsidR="009F2DB7" w:rsidRPr="00CB7701" w:rsidRDefault="007F32AB" w:rsidP="003D6FF0">
            <w:pPr>
              <w:jc w:val="both"/>
            </w:pPr>
            <w:r w:rsidRPr="00CB7701">
              <w:t>Moji čvorovi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A4CB" w14:textId="77777777" w:rsidR="009F2DB7" w:rsidRPr="00CB7701" w:rsidRDefault="009F2DB7" w:rsidP="003D6FF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1DD" w14:textId="77777777" w:rsidR="009F2DB7" w:rsidRPr="00CB7701" w:rsidRDefault="007F32AB" w:rsidP="003D6FF0">
            <w:pPr>
              <w:jc w:val="both"/>
            </w:pPr>
            <w:r w:rsidRPr="00CB7701">
              <w:t xml:space="preserve">Promjena Mojih </w:t>
            </w:r>
            <w:r w:rsidRPr="00CB7701">
              <w:lastRenderedPageBreak/>
              <w:t>podataka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57744" w14:textId="77777777" w:rsidR="009F2DB7" w:rsidRPr="00CB7701" w:rsidRDefault="009F2DB7" w:rsidP="003D6FF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2639" w14:textId="77777777" w:rsidR="009F2DB7" w:rsidRPr="00CB7701" w:rsidRDefault="007F32AB" w:rsidP="003D6FF0">
            <w:pPr>
              <w:jc w:val="both"/>
            </w:pPr>
            <w:r w:rsidRPr="00CB7701">
              <w:t>Promjena Jezika</w:t>
            </w:r>
          </w:p>
        </w:tc>
      </w:tr>
    </w:tbl>
    <w:p w14:paraId="1683DFB7" w14:textId="77777777" w:rsidR="002F589D" w:rsidRPr="00CB7701" w:rsidRDefault="002F589D" w:rsidP="00A41404">
      <w:pPr>
        <w:jc w:val="both"/>
      </w:pPr>
    </w:p>
    <w:p w14:paraId="5C2A3A8F" w14:textId="77777777" w:rsidR="002F589D" w:rsidRPr="00CB7701" w:rsidRDefault="002F589D" w:rsidP="00A41404">
      <w:pPr>
        <w:jc w:val="both"/>
      </w:pPr>
    </w:p>
    <w:p w14:paraId="5B1559F0" w14:textId="77777777" w:rsidR="002F589D" w:rsidRPr="00CB7701" w:rsidRDefault="007F32AB" w:rsidP="00A41404">
      <w:pPr>
        <w:numPr>
          <w:ilvl w:val="0"/>
          <w:numId w:val="6"/>
        </w:numPr>
        <w:jc w:val="both"/>
      </w:pPr>
      <w:r w:rsidRPr="00CB7701">
        <w:rPr>
          <w:b/>
        </w:rPr>
        <w:t>Moji čvorovi</w:t>
      </w:r>
      <w:r w:rsidRPr="00CB7701">
        <w:t>: Udruženja ili članovi za koje nadzirete poziv i/ili za koje ste primili poziv.</w:t>
      </w:r>
    </w:p>
    <w:p w14:paraId="5D282BCB" w14:textId="77777777" w:rsidR="002F589D" w:rsidRPr="00CB7701" w:rsidRDefault="002F589D" w:rsidP="00A41404">
      <w:pPr>
        <w:jc w:val="both"/>
      </w:pPr>
    </w:p>
    <w:p w14:paraId="69250241" w14:textId="77777777" w:rsidR="002F589D" w:rsidRPr="00CB7701" w:rsidRDefault="007F32AB" w:rsidP="00A41404">
      <w:pPr>
        <w:numPr>
          <w:ilvl w:val="0"/>
          <w:numId w:val="5"/>
        </w:numPr>
        <w:jc w:val="both"/>
      </w:pPr>
      <w:r w:rsidRPr="00CB7701">
        <w:rPr>
          <w:b/>
        </w:rPr>
        <w:t>Promjena Mojih podataka</w:t>
      </w:r>
      <w:r w:rsidRPr="00CB7701">
        <w:t>: promijenite svoje ime. Osoba koja vas je upisala o tome će biti obaviještena.</w:t>
      </w:r>
    </w:p>
    <w:p w14:paraId="4BD46CF3" w14:textId="77777777" w:rsidR="002F589D" w:rsidRPr="00CB7701" w:rsidRDefault="002F589D" w:rsidP="00A41404">
      <w:pPr>
        <w:jc w:val="both"/>
      </w:pPr>
    </w:p>
    <w:p w14:paraId="2F64915A" w14:textId="77777777" w:rsidR="002F589D" w:rsidRPr="00CB7701" w:rsidRDefault="007F32AB" w:rsidP="00A41404">
      <w:pPr>
        <w:numPr>
          <w:ilvl w:val="0"/>
          <w:numId w:val="4"/>
        </w:numPr>
        <w:jc w:val="both"/>
      </w:pPr>
      <w:r w:rsidRPr="00CB7701">
        <w:rPr>
          <w:b/>
        </w:rPr>
        <w:t>Odbij poziv</w:t>
      </w:r>
      <w:r w:rsidRPr="00CB7701">
        <w:t>: odbijte poziv kad vas je već pozvao netko drugi.</w:t>
      </w:r>
    </w:p>
    <w:p w14:paraId="4028F2D3" w14:textId="77777777" w:rsidR="002F589D" w:rsidRPr="00CB7701" w:rsidRDefault="002F589D" w:rsidP="00A414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7F32AB" w:rsidRPr="00CB7701" w14:paraId="3E853AD3" w14:textId="77777777" w:rsidTr="003D6FF0">
        <w:tc>
          <w:tcPr>
            <w:tcW w:w="1951" w:type="dxa"/>
            <w:shd w:val="clear" w:color="auto" w:fill="auto"/>
          </w:tcPr>
          <w:p w14:paraId="7DF86D47" w14:textId="77777777" w:rsidR="009F2DB7" w:rsidRPr="00CB7701" w:rsidRDefault="007F32AB" w:rsidP="003D6FF0">
            <w:pPr>
              <w:jc w:val="both"/>
            </w:pPr>
            <w:r w:rsidRPr="00CB7701">
              <w:t>Moji čvorovi</w:t>
            </w:r>
          </w:p>
        </w:tc>
      </w:tr>
    </w:tbl>
    <w:p w14:paraId="182E7836" w14:textId="77777777" w:rsidR="002F589D" w:rsidRPr="00CB7701" w:rsidRDefault="002F589D" w:rsidP="00A41404">
      <w:pPr>
        <w:jc w:val="both"/>
      </w:pPr>
    </w:p>
    <w:p w14:paraId="49C67500" w14:textId="77777777" w:rsidR="002F589D" w:rsidRPr="00CB7701" w:rsidRDefault="007F32AB" w:rsidP="00A41404">
      <w:pPr>
        <w:jc w:val="both"/>
      </w:pPr>
      <w:r w:rsidRPr="00CB7701">
        <w:t>Ovdje je prikazan popis čvorova kojima vi predstavljati Kontakt. Nakon što ste odabrali člana imate nekoliko opcija</w:t>
      </w:r>
    </w:p>
    <w:p w14:paraId="5D83627B" w14:textId="77777777" w:rsidR="002F589D" w:rsidRPr="00CB7701" w:rsidRDefault="002F589D" w:rsidP="00A414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2AB" w:rsidRPr="00CB7701" w14:paraId="0C52EE7C" w14:textId="77777777" w:rsidTr="003D6FF0">
        <w:tc>
          <w:tcPr>
            <w:tcW w:w="4621" w:type="dxa"/>
            <w:shd w:val="clear" w:color="auto" w:fill="D9E2F3"/>
            <w:vAlign w:val="center"/>
          </w:tcPr>
          <w:p w14:paraId="1465EE97" w14:textId="77777777" w:rsidR="009F2DB7" w:rsidRPr="00CB7701" w:rsidRDefault="007F32AB" w:rsidP="003D6FF0">
            <w:pPr>
              <w:spacing w:before="120" w:after="120"/>
              <w:jc w:val="center"/>
            </w:pPr>
            <w:r w:rsidRPr="00CB7701">
              <w:rPr>
                <w:b/>
                <w:bCs/>
              </w:rPr>
              <w:t>Funkcije</w:t>
            </w:r>
          </w:p>
        </w:tc>
        <w:tc>
          <w:tcPr>
            <w:tcW w:w="4621" w:type="dxa"/>
            <w:shd w:val="clear" w:color="auto" w:fill="D9E2F3"/>
            <w:vAlign w:val="center"/>
          </w:tcPr>
          <w:p w14:paraId="257ECB88" w14:textId="77777777" w:rsidR="009F2DB7" w:rsidRPr="00CB7701" w:rsidRDefault="007F32AB" w:rsidP="003D6FF0">
            <w:pPr>
              <w:spacing w:before="120" w:after="120"/>
              <w:jc w:val="center"/>
            </w:pPr>
            <w:r w:rsidRPr="00CB7701">
              <w:rPr>
                <w:b/>
                <w:bCs/>
              </w:rPr>
              <w:t>Opis</w:t>
            </w:r>
          </w:p>
        </w:tc>
      </w:tr>
      <w:tr w:rsidR="007F32AB" w:rsidRPr="00CB7701" w14:paraId="176D2700" w14:textId="77777777" w:rsidTr="003D6FF0">
        <w:tc>
          <w:tcPr>
            <w:tcW w:w="4621" w:type="dxa"/>
            <w:shd w:val="clear" w:color="auto" w:fill="auto"/>
            <w:vAlign w:val="center"/>
          </w:tcPr>
          <w:p w14:paraId="6493C8DC" w14:textId="77777777" w:rsidR="009F2DB7" w:rsidRPr="00CB7701" w:rsidRDefault="007F32AB" w:rsidP="003D6FF0">
            <w:pPr>
              <w:spacing w:before="120" w:after="120"/>
              <w:jc w:val="both"/>
              <w:rPr>
                <w:b/>
                <w:bCs/>
              </w:rPr>
            </w:pPr>
            <w:r w:rsidRPr="00CB7701">
              <w:t>Popunjavanje izvješća na ovoj razini</w:t>
            </w:r>
          </w:p>
        </w:tc>
        <w:tc>
          <w:tcPr>
            <w:tcW w:w="4621" w:type="dxa"/>
            <w:shd w:val="clear" w:color="auto" w:fill="auto"/>
          </w:tcPr>
          <w:p w14:paraId="148D9A82" w14:textId="77777777" w:rsidR="009F2DB7" w:rsidRPr="00CB7701" w:rsidRDefault="007F32AB" w:rsidP="003D6FF0">
            <w:pPr>
              <w:spacing w:before="120" w:after="120"/>
              <w:jc w:val="both"/>
              <w:rPr>
                <w:b/>
                <w:bCs/>
              </w:rPr>
            </w:pPr>
            <w:r w:rsidRPr="00CB7701">
              <w:t>Nije relevantno za udruženja kad pozive šaljete članovima, jer izvješća moraju popunjavati tvrtke i gradilišta.</w:t>
            </w:r>
          </w:p>
        </w:tc>
      </w:tr>
      <w:tr w:rsidR="007F32AB" w:rsidRPr="00CB7701" w14:paraId="0641D027" w14:textId="77777777" w:rsidTr="003D6FF0">
        <w:tc>
          <w:tcPr>
            <w:tcW w:w="4621" w:type="dxa"/>
            <w:shd w:val="clear" w:color="auto" w:fill="auto"/>
            <w:vAlign w:val="center"/>
          </w:tcPr>
          <w:p w14:paraId="517DE033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Upis članova / upravljanje članovima</w:t>
            </w:r>
          </w:p>
        </w:tc>
        <w:tc>
          <w:tcPr>
            <w:tcW w:w="4621" w:type="dxa"/>
            <w:shd w:val="clear" w:color="auto" w:fill="auto"/>
          </w:tcPr>
          <w:p w14:paraId="650EDD04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Dodajte, ažurirajte ili obrišite udruženja-članove i/ili tvr</w:t>
            </w:r>
            <w:r w:rsidR="00827490" w:rsidRPr="00CB7701">
              <w:t>t</w:t>
            </w:r>
            <w:r w:rsidRPr="00CB7701">
              <w:t>ke.</w:t>
            </w:r>
          </w:p>
        </w:tc>
      </w:tr>
      <w:tr w:rsidR="007F32AB" w:rsidRPr="00CB7701" w14:paraId="706086CC" w14:textId="77777777" w:rsidTr="003D6FF0">
        <w:tc>
          <w:tcPr>
            <w:tcW w:w="4621" w:type="dxa"/>
            <w:shd w:val="clear" w:color="auto" w:fill="auto"/>
            <w:vAlign w:val="center"/>
          </w:tcPr>
          <w:p w14:paraId="25DB18A6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Prijenos vlasništva (ovaj upis)</w:t>
            </w:r>
          </w:p>
        </w:tc>
        <w:tc>
          <w:tcPr>
            <w:tcW w:w="4621" w:type="dxa"/>
            <w:shd w:val="clear" w:color="auto" w:fill="auto"/>
          </w:tcPr>
          <w:p w14:paraId="614D5FC9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Možete promijeniti ime i e-poštu osobe za kontakt.</w:t>
            </w:r>
          </w:p>
        </w:tc>
      </w:tr>
      <w:tr w:rsidR="007F32AB" w:rsidRPr="00CB7701" w14:paraId="30AD4481" w14:textId="77777777" w:rsidTr="003D6FF0">
        <w:tc>
          <w:tcPr>
            <w:tcW w:w="4621" w:type="dxa"/>
            <w:shd w:val="clear" w:color="auto" w:fill="auto"/>
            <w:vAlign w:val="center"/>
          </w:tcPr>
          <w:p w14:paraId="422025B6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Dopuna imena (ovaj upis)</w:t>
            </w:r>
          </w:p>
        </w:tc>
        <w:tc>
          <w:tcPr>
            <w:tcW w:w="4621" w:type="dxa"/>
            <w:shd w:val="clear" w:color="auto" w:fill="auto"/>
          </w:tcPr>
          <w:p w14:paraId="66539CA5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Promijenite ime i podatke o osobi za kontakt s udruženjem.</w:t>
            </w:r>
          </w:p>
        </w:tc>
      </w:tr>
      <w:tr w:rsidR="007F32AB" w:rsidRPr="00CB7701" w14:paraId="65037748" w14:textId="77777777" w:rsidTr="003D6FF0">
        <w:tc>
          <w:tcPr>
            <w:tcW w:w="4621" w:type="dxa"/>
            <w:shd w:val="clear" w:color="auto" w:fill="auto"/>
            <w:vAlign w:val="center"/>
          </w:tcPr>
          <w:p w14:paraId="0229C52F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Ispis praznog izvješća</w:t>
            </w:r>
          </w:p>
        </w:tc>
        <w:tc>
          <w:tcPr>
            <w:tcW w:w="4621" w:type="dxa"/>
            <w:shd w:val="clear" w:color="auto" w:fill="auto"/>
          </w:tcPr>
          <w:p w14:paraId="177E5805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Prikaz i ispisivanje izvješća.</w:t>
            </w:r>
          </w:p>
        </w:tc>
      </w:tr>
      <w:tr w:rsidR="007F32AB" w:rsidRPr="00CB7701" w14:paraId="3C0508F1" w14:textId="77777777" w:rsidTr="003D6FF0">
        <w:tc>
          <w:tcPr>
            <w:tcW w:w="4621" w:type="dxa"/>
            <w:shd w:val="clear" w:color="auto" w:fill="auto"/>
            <w:vAlign w:val="center"/>
          </w:tcPr>
          <w:p w14:paraId="5103F03A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Prikaz pročišćenog izvješća</w:t>
            </w:r>
          </w:p>
        </w:tc>
        <w:tc>
          <w:tcPr>
            <w:tcW w:w="4621" w:type="dxa"/>
            <w:shd w:val="clear" w:color="auto" w:fill="auto"/>
          </w:tcPr>
          <w:p w14:paraId="1F23D091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Prikaz svih vaših odgovora kao jedno izvješće</w:t>
            </w:r>
          </w:p>
        </w:tc>
      </w:tr>
      <w:tr w:rsidR="007F32AB" w:rsidRPr="00CB7701" w14:paraId="11E6C790" w14:textId="77777777" w:rsidTr="003D6FF0">
        <w:tc>
          <w:tcPr>
            <w:tcW w:w="4621" w:type="dxa"/>
            <w:shd w:val="clear" w:color="auto" w:fill="auto"/>
            <w:vAlign w:val="center"/>
          </w:tcPr>
          <w:p w14:paraId="2834DD38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Prikaz izvješća člana</w:t>
            </w:r>
          </w:p>
        </w:tc>
        <w:tc>
          <w:tcPr>
            <w:tcW w:w="4621" w:type="dxa"/>
            <w:shd w:val="clear" w:color="auto" w:fill="auto"/>
          </w:tcPr>
          <w:p w14:paraId="0F1774C1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Prikaz izvješća samo jednog člana Osim toga, prikaz odgovora članova na izborna pitanja na svakoj razini.</w:t>
            </w:r>
          </w:p>
        </w:tc>
      </w:tr>
      <w:tr w:rsidR="007F32AB" w:rsidRPr="00CB7701" w14:paraId="70BEA04B" w14:textId="77777777" w:rsidTr="003D6FF0">
        <w:tc>
          <w:tcPr>
            <w:tcW w:w="4621" w:type="dxa"/>
            <w:shd w:val="clear" w:color="auto" w:fill="auto"/>
            <w:vAlign w:val="center"/>
          </w:tcPr>
          <w:p w14:paraId="5D82A2AC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Izborna pitanja</w:t>
            </w:r>
          </w:p>
        </w:tc>
        <w:tc>
          <w:tcPr>
            <w:tcW w:w="4621" w:type="dxa"/>
            <w:shd w:val="clear" w:color="auto" w:fill="auto"/>
          </w:tcPr>
          <w:p w14:paraId="77A785A2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 xml:space="preserve">Dodatna pitanja na koja odgovarate dobrovoljno na razini nacionalnog udruženja. </w:t>
            </w:r>
          </w:p>
        </w:tc>
      </w:tr>
      <w:tr w:rsidR="007F32AB" w:rsidRPr="00CB7701" w14:paraId="454EE3F0" w14:textId="77777777" w:rsidTr="003D6FF0">
        <w:tc>
          <w:tcPr>
            <w:tcW w:w="4621" w:type="dxa"/>
            <w:shd w:val="clear" w:color="auto" w:fill="auto"/>
            <w:vAlign w:val="center"/>
          </w:tcPr>
          <w:p w14:paraId="5C18549B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Potvrda</w:t>
            </w:r>
          </w:p>
        </w:tc>
        <w:tc>
          <w:tcPr>
            <w:tcW w:w="4621" w:type="dxa"/>
            <w:shd w:val="clear" w:color="auto" w:fill="auto"/>
          </w:tcPr>
          <w:p w14:paraId="2C72A5C9" w14:textId="77777777" w:rsidR="009F2DB7" w:rsidRPr="00CB7701" w:rsidRDefault="007F32AB" w:rsidP="003D6FF0">
            <w:pPr>
              <w:spacing w:before="120" w:after="120"/>
              <w:jc w:val="both"/>
            </w:pPr>
            <w:r w:rsidRPr="00CB7701">
              <w:t>Potvrda o uspješno obavljenom zadatku izvješćivanja za NEPSI dostupna je nakon završetka razdoblja izvješćivanja.</w:t>
            </w:r>
          </w:p>
        </w:tc>
      </w:tr>
    </w:tbl>
    <w:p w14:paraId="7E8B58CF" w14:textId="77777777" w:rsidR="002F589D" w:rsidRPr="00CB7701" w:rsidRDefault="002F589D" w:rsidP="00A41404">
      <w:pPr>
        <w:jc w:val="both"/>
      </w:pPr>
    </w:p>
    <w:p w14:paraId="42DAE93F" w14:textId="77777777" w:rsidR="00A41404" w:rsidRPr="00CB7701" w:rsidRDefault="007F32AB" w:rsidP="00A41404">
      <w:pPr>
        <w:pStyle w:val="ListParagraph"/>
        <w:ind w:left="360"/>
        <w:jc w:val="both"/>
        <w:rPr>
          <w:b/>
          <w:bCs/>
        </w:rPr>
      </w:pPr>
      <w:r w:rsidRPr="00CB7701">
        <w:br w:type="page"/>
      </w:r>
    </w:p>
    <w:p w14:paraId="6332ED07" w14:textId="77777777" w:rsidR="002F589D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lastRenderedPageBreak/>
        <w:t>Upis članova / upravljanje članovima</w:t>
      </w:r>
    </w:p>
    <w:p w14:paraId="33BC08E6" w14:textId="77777777" w:rsidR="002F589D" w:rsidRPr="00CB7701" w:rsidRDefault="002F589D" w:rsidP="00A41404">
      <w:pPr>
        <w:jc w:val="both"/>
      </w:pPr>
    </w:p>
    <w:p w14:paraId="4FAE33D9" w14:textId="77777777" w:rsidR="00DC658C" w:rsidRPr="00CB7701" w:rsidRDefault="007F32AB" w:rsidP="00A41404">
      <w:pPr>
        <w:jc w:val="both"/>
      </w:pPr>
      <w:r w:rsidRPr="00CB7701">
        <w:t>Ako je vaš čvor već podnio izvješće, u ovom će odjeljku biti prikazani postojeći članovi u sustavu i moći ćete uređivati njihove podatke za kontakt. Osim toga možete dodavati nove članove i ponovno poslati poruke e-pošte o upisu.</w:t>
      </w:r>
    </w:p>
    <w:p w14:paraId="6907F2EE" w14:textId="77777777" w:rsidR="00DC658C" w:rsidRPr="00CB7701" w:rsidRDefault="00DC658C" w:rsidP="00A41404">
      <w:pPr>
        <w:jc w:val="both"/>
      </w:pPr>
    </w:p>
    <w:p w14:paraId="70FF9243" w14:textId="77777777" w:rsidR="00DC658C" w:rsidRPr="00CB7701" w:rsidRDefault="007F32AB" w:rsidP="00A41404">
      <w:pPr>
        <w:jc w:val="both"/>
      </w:pPr>
      <w:r w:rsidRPr="00CB7701">
        <w:t>Ako upišete novog člana, sustav će provjeriti nije li pridruženi član već uključen u sustav. Ako je upisani član već postojeći korisnik, sustav će poslati automatsku poruku e-pošte kojom obavještava da je „Mojim čvorovima” dodan još jedan dodatni čvor. Prevladat će ranije odabran jezik i oblik naziva korisnika koji već postoji u sustavu.</w:t>
      </w:r>
    </w:p>
    <w:p w14:paraId="179B1392" w14:textId="77777777" w:rsidR="00DC658C" w:rsidRPr="00CB7701" w:rsidRDefault="00DC658C" w:rsidP="00A41404">
      <w:pPr>
        <w:jc w:val="both"/>
      </w:pPr>
    </w:p>
    <w:p w14:paraId="334A8C00" w14:textId="77777777" w:rsidR="00DC658C" w:rsidRPr="00CB7701" w:rsidRDefault="007F32AB" w:rsidP="00A41404">
      <w:pPr>
        <w:jc w:val="both"/>
      </w:pPr>
      <w:r w:rsidRPr="00CB7701">
        <w:t>Za nove korisnike pripazite na odabir ispravne razine upisa i državu.</w:t>
      </w:r>
    </w:p>
    <w:p w14:paraId="4DE9AC2C" w14:textId="77777777" w:rsidR="00DC658C" w:rsidRPr="00CB7701" w:rsidRDefault="00DC658C" w:rsidP="00A41404">
      <w:pPr>
        <w:jc w:val="both"/>
      </w:pPr>
    </w:p>
    <w:p w14:paraId="187EFB77" w14:textId="77777777" w:rsidR="00DC658C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t>Izborna pitanja</w:t>
      </w:r>
    </w:p>
    <w:p w14:paraId="5A81B1C9" w14:textId="77777777" w:rsidR="00DC658C" w:rsidRPr="00CB7701" w:rsidRDefault="00DC658C" w:rsidP="00A41404">
      <w:pPr>
        <w:jc w:val="both"/>
      </w:pPr>
    </w:p>
    <w:p w14:paraId="3C8E56A5" w14:textId="77777777" w:rsidR="00DC658C" w:rsidRPr="00CB7701" w:rsidRDefault="007F32AB" w:rsidP="00A41404">
      <w:pPr>
        <w:jc w:val="both"/>
      </w:pPr>
      <w:r w:rsidRPr="00CB7701">
        <w:t xml:space="preserve">Ovaj odjeljak korisniku omogućuje dobrovoljno iznošenje više informacija. </w:t>
      </w:r>
      <w:bookmarkStart w:id="1" w:name="_Hlk27657546"/>
      <w:r w:rsidRPr="00CB7701">
        <w:t xml:space="preserve">Vodite računa o tome da sustav dopušta samo običan tekst. </w:t>
      </w:r>
      <w:bookmarkEnd w:id="1"/>
      <w:r w:rsidRPr="00CB7701">
        <w:t xml:space="preserve">Preporučuje se da EU sektori i nacionalna udruženja prate svoje online izvješće komuniciranjem izravno s osobom koja ih je prijavila, kako bi naveli pojedinosti iz prijave za Sporazum. </w:t>
      </w:r>
      <w:bookmarkStart w:id="2" w:name="_Hlk27657579"/>
      <w:r w:rsidRPr="00CB7701">
        <w:t>Izborna pitanja na razini udruženja su sljedeća</w:t>
      </w:r>
      <w:bookmarkEnd w:id="2"/>
      <w:r w:rsidRPr="00CB7701">
        <w:t>:</w:t>
      </w:r>
    </w:p>
    <w:p w14:paraId="3B9EBDA0" w14:textId="77777777" w:rsidR="00DC658C" w:rsidRPr="00CB7701" w:rsidRDefault="00DC658C" w:rsidP="00A41404">
      <w:pPr>
        <w:jc w:val="both"/>
      </w:pPr>
    </w:p>
    <w:p w14:paraId="53DD7A1E" w14:textId="77777777" w:rsidR="00DC658C" w:rsidRPr="00CB7701" w:rsidRDefault="007F32AB" w:rsidP="00A41404">
      <w:pPr>
        <w:numPr>
          <w:ilvl w:val="0"/>
          <w:numId w:val="7"/>
        </w:numPr>
        <w:spacing w:after="120"/>
        <w:ind w:left="714" w:hanging="357"/>
        <w:jc w:val="both"/>
      </w:pPr>
      <w:r w:rsidRPr="00CB7701">
        <w:t>Postoje li značajne nacionalne obveze/zakonodavstvo. Uključujući ograničenja profesionalne izloženosti (OEL-ove), praćenje izloženosti respirabilnim česticama kristalnog silicijeva dioksida, upute, protokol i korištene metodologije, opremu, norme</w:t>
      </w:r>
    </w:p>
    <w:p w14:paraId="72A2A650" w14:textId="77777777" w:rsidR="00DC658C" w:rsidRPr="00CB7701" w:rsidRDefault="007F32AB" w:rsidP="00A41404">
      <w:pPr>
        <w:numPr>
          <w:ilvl w:val="0"/>
          <w:numId w:val="7"/>
        </w:numPr>
        <w:spacing w:after="120"/>
        <w:ind w:left="714" w:hanging="357"/>
        <w:jc w:val="both"/>
      </w:pPr>
      <w:r w:rsidRPr="00CB7701">
        <w:t>Možete li procijeniti koliki je broj zaposlenika obuhvaćen izvješćem u usporedbi s ukupnim brojem zaposlenih u sektoru?</w:t>
      </w:r>
    </w:p>
    <w:p w14:paraId="64D34DF6" w14:textId="77777777" w:rsidR="00DC658C" w:rsidRPr="00CB7701" w:rsidRDefault="007F32AB" w:rsidP="00A41404">
      <w:pPr>
        <w:numPr>
          <w:ilvl w:val="0"/>
          <w:numId w:val="7"/>
        </w:numPr>
        <w:spacing w:after="120"/>
        <w:ind w:left="714" w:hanging="357"/>
        <w:jc w:val="both"/>
      </w:pPr>
      <w:r w:rsidRPr="00CB7701">
        <w:t>Kako zajednički djelujete s partnerima na nacionalnoj razini?</w:t>
      </w:r>
    </w:p>
    <w:p w14:paraId="1962BCCC" w14:textId="77777777" w:rsidR="00DC658C" w:rsidRPr="00CB7701" w:rsidRDefault="007F32AB" w:rsidP="00A41404">
      <w:pPr>
        <w:numPr>
          <w:ilvl w:val="0"/>
          <w:numId w:val="7"/>
        </w:numPr>
        <w:jc w:val="both"/>
      </w:pPr>
      <w:r w:rsidRPr="00CB7701">
        <w:t>Ostale primjedbe</w:t>
      </w:r>
    </w:p>
    <w:p w14:paraId="7BF19D32" w14:textId="77777777" w:rsidR="0077240E" w:rsidRPr="00CB7701" w:rsidRDefault="0077240E" w:rsidP="00A41404">
      <w:pPr>
        <w:numPr>
          <w:ilvl w:val="0"/>
          <w:numId w:val="7"/>
        </w:numPr>
        <w:jc w:val="both"/>
      </w:pPr>
      <w:r w:rsidRPr="00CB7701">
        <w:t>Primjedbe na proces izvješćivanja</w:t>
      </w:r>
    </w:p>
    <w:p w14:paraId="7F28851D" w14:textId="77777777" w:rsidR="00DC658C" w:rsidRPr="00CB7701" w:rsidRDefault="00DC658C" w:rsidP="00A41404">
      <w:pPr>
        <w:jc w:val="both"/>
      </w:pPr>
    </w:p>
    <w:p w14:paraId="5087B6C6" w14:textId="77777777" w:rsidR="00DC658C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t>Završetak izvješća</w:t>
      </w:r>
    </w:p>
    <w:p w14:paraId="017BB2E9" w14:textId="77777777" w:rsidR="00DC658C" w:rsidRPr="00CB7701" w:rsidRDefault="00DC658C" w:rsidP="00A41404">
      <w:pPr>
        <w:jc w:val="both"/>
      </w:pPr>
    </w:p>
    <w:p w14:paraId="018B341E" w14:textId="77777777" w:rsidR="00DC658C" w:rsidRPr="00CB7701" w:rsidRDefault="007F32AB" w:rsidP="00A41404">
      <w:pPr>
        <w:jc w:val="both"/>
      </w:pPr>
      <w:r w:rsidRPr="00CB7701">
        <w:t xml:space="preserve">Osim toga, nakon završetka razdoblja izvješćivanja, možete ispisati i potvrdu kojom potvrđujete da ste uspješno obavili zadatak izvješćivanja za NEPSI. </w:t>
      </w:r>
      <w:bookmarkStart w:id="3" w:name="_Hlk27660810"/>
      <w:r w:rsidRPr="00CB7701">
        <w:t>Automatskom porukom e-pošte bit ćete obaviješteni kad možete ispisati svoju potvrdu.</w:t>
      </w:r>
      <w:bookmarkEnd w:id="3"/>
    </w:p>
    <w:p w14:paraId="545B2177" w14:textId="77777777" w:rsidR="00DC658C" w:rsidRPr="00CB7701" w:rsidRDefault="00DC658C" w:rsidP="00A41404">
      <w:pPr>
        <w:jc w:val="both"/>
      </w:pPr>
    </w:p>
    <w:p w14:paraId="471FAAE8" w14:textId="77777777" w:rsidR="00DC658C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t>Preporuke članovima</w:t>
      </w:r>
    </w:p>
    <w:p w14:paraId="24EC5B40" w14:textId="77777777" w:rsidR="00DC658C" w:rsidRPr="00CB7701" w:rsidRDefault="00DC658C" w:rsidP="00A41404">
      <w:pPr>
        <w:jc w:val="both"/>
      </w:pPr>
    </w:p>
    <w:p w14:paraId="1A757F58" w14:textId="77777777" w:rsidR="00DC658C" w:rsidRPr="00CB7701" w:rsidRDefault="007F32AB" w:rsidP="00A41404">
      <w:pPr>
        <w:jc w:val="both"/>
      </w:pPr>
      <w:r w:rsidRPr="00CB7701">
        <w:t>Za svako pitanje postoji obrazloženje dostupno korištenjem tipke za „Pomoć”</w:t>
      </w:r>
    </w:p>
    <w:p w14:paraId="28A30553" w14:textId="77777777" w:rsidR="00DC658C" w:rsidRPr="00CB7701" w:rsidRDefault="00DC658C" w:rsidP="00A41404">
      <w:pPr>
        <w:jc w:val="both"/>
      </w:pPr>
    </w:p>
    <w:p w14:paraId="110FF707" w14:textId="77777777" w:rsidR="00DC658C" w:rsidRPr="00CB7701" w:rsidRDefault="007F32AB" w:rsidP="00A41404">
      <w:pPr>
        <w:jc w:val="both"/>
      </w:pPr>
      <w:r w:rsidRPr="00CB7701">
        <w:t>Obavijestite svoje članove neka provjere svoj pretinac spam/junk pošte, ako još nisu primili poziv za izvješćivanje o KPI-ovima za NEPSI.</w:t>
      </w:r>
    </w:p>
    <w:p w14:paraId="2C849206" w14:textId="77777777" w:rsidR="00DC658C" w:rsidRPr="00CB7701" w:rsidRDefault="00DC658C" w:rsidP="00A41404">
      <w:pPr>
        <w:jc w:val="both"/>
      </w:pPr>
    </w:p>
    <w:p w14:paraId="74E2B8C8" w14:textId="77777777" w:rsidR="00DC658C" w:rsidRPr="00CB7701" w:rsidRDefault="007F32AB" w:rsidP="00A414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B7701">
        <w:rPr>
          <w:b/>
          <w:bCs/>
        </w:rPr>
        <w:t>Pitanja i tehnički problemi</w:t>
      </w:r>
    </w:p>
    <w:p w14:paraId="38D7D13C" w14:textId="77777777" w:rsidR="00DC658C" w:rsidRPr="00CB7701" w:rsidRDefault="00DC658C" w:rsidP="00A41404">
      <w:pPr>
        <w:jc w:val="both"/>
      </w:pPr>
    </w:p>
    <w:p w14:paraId="4A82B8F2" w14:textId="2E011C0A" w:rsidR="00DC658C" w:rsidRDefault="007F32AB" w:rsidP="00A41404">
      <w:pPr>
        <w:jc w:val="both"/>
      </w:pPr>
      <w:r w:rsidRPr="00CB7701">
        <w:t xml:space="preserve">Za sva pitanja i tehničke probleme obratite se svom EU udruženju ili Službi za korisnike NEPSI-ja, Davidu Yellandu na </w:t>
      </w:r>
      <w:hyperlink r:id="rId11" w:history="1">
        <w:r w:rsidRPr="00CB7701">
          <w:rPr>
            <w:rStyle w:val="Hyperlink"/>
          </w:rPr>
          <w:t>helpdesk@nepsidata.com</w:t>
        </w:r>
      </w:hyperlink>
      <w:r w:rsidRPr="00CB7701">
        <w:t>.</w:t>
      </w:r>
    </w:p>
    <w:p w14:paraId="13FE0711" w14:textId="77777777" w:rsidR="00A41404" w:rsidRDefault="00A41404" w:rsidP="00A41404">
      <w:pPr>
        <w:jc w:val="both"/>
      </w:pPr>
    </w:p>
    <w:sectPr w:rsidR="00A4140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7C1E" w14:textId="77777777" w:rsidR="007F32AB" w:rsidRDefault="007F32AB">
      <w:r>
        <w:separator/>
      </w:r>
    </w:p>
  </w:endnote>
  <w:endnote w:type="continuationSeparator" w:id="0">
    <w:p w14:paraId="2400268B" w14:textId="77777777" w:rsidR="007F32AB" w:rsidRDefault="007F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9412" w14:textId="77777777" w:rsidR="007F32AB" w:rsidRDefault="007F32AB">
      <w:r>
        <w:separator/>
      </w:r>
    </w:p>
  </w:footnote>
  <w:footnote w:type="continuationSeparator" w:id="0">
    <w:p w14:paraId="6140EE79" w14:textId="77777777" w:rsidR="007F32AB" w:rsidRDefault="007F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795C" w14:textId="77777777" w:rsidR="002F589D" w:rsidRDefault="0077240E" w:rsidP="002F589D">
    <w:pPr>
      <w:pStyle w:val="Header"/>
      <w:tabs>
        <w:tab w:val="clear" w:pos="4513"/>
      </w:tabs>
    </w:pPr>
    <w:r>
      <w:rPr>
        <w:noProof/>
        <w:lang w:eastAsia="hr-HR"/>
      </w:rPr>
      <w:drawing>
        <wp:inline distT="0" distB="0" distL="0" distR="0" wp14:anchorId="39046A3F" wp14:editId="796CB32C">
          <wp:extent cx="1080135" cy="727075"/>
          <wp:effectExtent l="19050" t="0" r="5715" b="0"/>
          <wp:docPr id="2" name="Picture 1" descr="SiO2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2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32AB">
      <w:t xml:space="preserve"> </w:t>
    </w:r>
    <w:r w:rsidR="007F32AB">
      <w:tab/>
      <w:t>Siječanj,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55D"/>
    <w:multiLevelType w:val="hybridMultilevel"/>
    <w:tmpl w:val="78DC23B2"/>
    <w:lvl w:ilvl="0" w:tplc="0588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CE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EC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EC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63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6B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4C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44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CC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7BB"/>
    <w:multiLevelType w:val="hybridMultilevel"/>
    <w:tmpl w:val="307087EA"/>
    <w:lvl w:ilvl="0" w:tplc="995259A6">
      <w:start w:val="1"/>
      <w:numFmt w:val="decimal"/>
      <w:lvlText w:val="%1."/>
      <w:lvlJc w:val="left"/>
      <w:pPr>
        <w:ind w:left="720" w:hanging="360"/>
      </w:pPr>
    </w:lvl>
    <w:lvl w:ilvl="1" w:tplc="A94A0736" w:tentative="1">
      <w:start w:val="1"/>
      <w:numFmt w:val="lowerLetter"/>
      <w:lvlText w:val="%2."/>
      <w:lvlJc w:val="left"/>
      <w:pPr>
        <w:ind w:left="1440" w:hanging="360"/>
      </w:pPr>
    </w:lvl>
    <w:lvl w:ilvl="2" w:tplc="05BA274C" w:tentative="1">
      <w:start w:val="1"/>
      <w:numFmt w:val="lowerRoman"/>
      <w:lvlText w:val="%3."/>
      <w:lvlJc w:val="right"/>
      <w:pPr>
        <w:ind w:left="2160" w:hanging="180"/>
      </w:pPr>
    </w:lvl>
    <w:lvl w:ilvl="3" w:tplc="0D98D628" w:tentative="1">
      <w:start w:val="1"/>
      <w:numFmt w:val="decimal"/>
      <w:lvlText w:val="%4."/>
      <w:lvlJc w:val="left"/>
      <w:pPr>
        <w:ind w:left="2880" w:hanging="360"/>
      </w:pPr>
    </w:lvl>
    <w:lvl w:ilvl="4" w:tplc="4CDE3598" w:tentative="1">
      <w:start w:val="1"/>
      <w:numFmt w:val="lowerLetter"/>
      <w:lvlText w:val="%5."/>
      <w:lvlJc w:val="left"/>
      <w:pPr>
        <w:ind w:left="3600" w:hanging="360"/>
      </w:pPr>
    </w:lvl>
    <w:lvl w:ilvl="5" w:tplc="685E35CE" w:tentative="1">
      <w:start w:val="1"/>
      <w:numFmt w:val="lowerRoman"/>
      <w:lvlText w:val="%6."/>
      <w:lvlJc w:val="right"/>
      <w:pPr>
        <w:ind w:left="4320" w:hanging="180"/>
      </w:pPr>
    </w:lvl>
    <w:lvl w:ilvl="6" w:tplc="B02ACC20" w:tentative="1">
      <w:start w:val="1"/>
      <w:numFmt w:val="decimal"/>
      <w:lvlText w:val="%7."/>
      <w:lvlJc w:val="left"/>
      <w:pPr>
        <w:ind w:left="5040" w:hanging="360"/>
      </w:pPr>
    </w:lvl>
    <w:lvl w:ilvl="7" w:tplc="8B20D060" w:tentative="1">
      <w:start w:val="1"/>
      <w:numFmt w:val="lowerLetter"/>
      <w:lvlText w:val="%8."/>
      <w:lvlJc w:val="left"/>
      <w:pPr>
        <w:ind w:left="5760" w:hanging="360"/>
      </w:pPr>
    </w:lvl>
    <w:lvl w:ilvl="8" w:tplc="68EEE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0AB8"/>
    <w:multiLevelType w:val="hybridMultilevel"/>
    <w:tmpl w:val="D0B2F89C"/>
    <w:lvl w:ilvl="0" w:tplc="4E28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C1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8A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EA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1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0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B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E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2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1810"/>
    <w:multiLevelType w:val="hybridMultilevel"/>
    <w:tmpl w:val="9DEC1800"/>
    <w:lvl w:ilvl="0" w:tplc="20D04E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50277B0" w:tentative="1">
      <w:start w:val="1"/>
      <w:numFmt w:val="lowerLetter"/>
      <w:lvlText w:val="%2."/>
      <w:lvlJc w:val="left"/>
      <w:pPr>
        <w:ind w:left="1440" w:hanging="360"/>
      </w:pPr>
    </w:lvl>
    <w:lvl w:ilvl="2" w:tplc="2D44F308" w:tentative="1">
      <w:start w:val="1"/>
      <w:numFmt w:val="lowerRoman"/>
      <w:lvlText w:val="%3."/>
      <w:lvlJc w:val="right"/>
      <w:pPr>
        <w:ind w:left="2160" w:hanging="180"/>
      </w:pPr>
    </w:lvl>
    <w:lvl w:ilvl="3" w:tplc="167ABC34" w:tentative="1">
      <w:start w:val="1"/>
      <w:numFmt w:val="decimal"/>
      <w:lvlText w:val="%4."/>
      <w:lvlJc w:val="left"/>
      <w:pPr>
        <w:ind w:left="2880" w:hanging="360"/>
      </w:pPr>
    </w:lvl>
    <w:lvl w:ilvl="4" w:tplc="9B86FF12" w:tentative="1">
      <w:start w:val="1"/>
      <w:numFmt w:val="lowerLetter"/>
      <w:lvlText w:val="%5."/>
      <w:lvlJc w:val="left"/>
      <w:pPr>
        <w:ind w:left="3600" w:hanging="360"/>
      </w:pPr>
    </w:lvl>
    <w:lvl w:ilvl="5" w:tplc="123A88A4" w:tentative="1">
      <w:start w:val="1"/>
      <w:numFmt w:val="lowerRoman"/>
      <w:lvlText w:val="%6."/>
      <w:lvlJc w:val="right"/>
      <w:pPr>
        <w:ind w:left="4320" w:hanging="180"/>
      </w:pPr>
    </w:lvl>
    <w:lvl w:ilvl="6" w:tplc="90B25FAE" w:tentative="1">
      <w:start w:val="1"/>
      <w:numFmt w:val="decimal"/>
      <w:lvlText w:val="%7."/>
      <w:lvlJc w:val="left"/>
      <w:pPr>
        <w:ind w:left="5040" w:hanging="360"/>
      </w:pPr>
    </w:lvl>
    <w:lvl w:ilvl="7" w:tplc="FFE47396" w:tentative="1">
      <w:start w:val="1"/>
      <w:numFmt w:val="lowerLetter"/>
      <w:lvlText w:val="%8."/>
      <w:lvlJc w:val="left"/>
      <w:pPr>
        <w:ind w:left="5760" w:hanging="360"/>
      </w:pPr>
    </w:lvl>
    <w:lvl w:ilvl="8" w:tplc="9A7E7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4562"/>
    <w:multiLevelType w:val="hybridMultilevel"/>
    <w:tmpl w:val="235A9AC4"/>
    <w:lvl w:ilvl="0" w:tplc="48323C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2A3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0F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E4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E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EF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C7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26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C5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3C19"/>
    <w:multiLevelType w:val="hybridMultilevel"/>
    <w:tmpl w:val="CFE629C0"/>
    <w:lvl w:ilvl="0" w:tplc="72AA6172">
      <w:start w:val="1"/>
      <w:numFmt w:val="upperLetter"/>
      <w:lvlText w:val="%1."/>
      <w:lvlJc w:val="left"/>
      <w:pPr>
        <w:ind w:left="720" w:hanging="360"/>
      </w:pPr>
    </w:lvl>
    <w:lvl w:ilvl="1" w:tplc="B8B2F310" w:tentative="1">
      <w:start w:val="1"/>
      <w:numFmt w:val="lowerLetter"/>
      <w:lvlText w:val="%2."/>
      <w:lvlJc w:val="left"/>
      <w:pPr>
        <w:ind w:left="1440" w:hanging="360"/>
      </w:pPr>
    </w:lvl>
    <w:lvl w:ilvl="2" w:tplc="4370AF7C" w:tentative="1">
      <w:start w:val="1"/>
      <w:numFmt w:val="lowerRoman"/>
      <w:lvlText w:val="%3."/>
      <w:lvlJc w:val="right"/>
      <w:pPr>
        <w:ind w:left="2160" w:hanging="180"/>
      </w:pPr>
    </w:lvl>
    <w:lvl w:ilvl="3" w:tplc="9B5CA1A6" w:tentative="1">
      <w:start w:val="1"/>
      <w:numFmt w:val="decimal"/>
      <w:lvlText w:val="%4."/>
      <w:lvlJc w:val="left"/>
      <w:pPr>
        <w:ind w:left="2880" w:hanging="360"/>
      </w:pPr>
    </w:lvl>
    <w:lvl w:ilvl="4" w:tplc="EF0A0C04" w:tentative="1">
      <w:start w:val="1"/>
      <w:numFmt w:val="lowerLetter"/>
      <w:lvlText w:val="%5."/>
      <w:lvlJc w:val="left"/>
      <w:pPr>
        <w:ind w:left="3600" w:hanging="360"/>
      </w:pPr>
    </w:lvl>
    <w:lvl w:ilvl="5" w:tplc="6BA645A6" w:tentative="1">
      <w:start w:val="1"/>
      <w:numFmt w:val="lowerRoman"/>
      <w:lvlText w:val="%6."/>
      <w:lvlJc w:val="right"/>
      <w:pPr>
        <w:ind w:left="4320" w:hanging="180"/>
      </w:pPr>
    </w:lvl>
    <w:lvl w:ilvl="6" w:tplc="605659F2" w:tentative="1">
      <w:start w:val="1"/>
      <w:numFmt w:val="decimal"/>
      <w:lvlText w:val="%7."/>
      <w:lvlJc w:val="left"/>
      <w:pPr>
        <w:ind w:left="5040" w:hanging="360"/>
      </w:pPr>
    </w:lvl>
    <w:lvl w:ilvl="7" w:tplc="1122A70E" w:tentative="1">
      <w:start w:val="1"/>
      <w:numFmt w:val="lowerLetter"/>
      <w:lvlText w:val="%8."/>
      <w:lvlJc w:val="left"/>
      <w:pPr>
        <w:ind w:left="5760" w:hanging="360"/>
      </w:pPr>
    </w:lvl>
    <w:lvl w:ilvl="8" w:tplc="497A5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50A7"/>
    <w:multiLevelType w:val="hybridMultilevel"/>
    <w:tmpl w:val="B854F740"/>
    <w:lvl w:ilvl="0" w:tplc="CE309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C8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CD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6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EA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03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1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69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E7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9D"/>
    <w:rsid w:val="00035611"/>
    <w:rsid w:val="00050090"/>
    <w:rsid w:val="00064633"/>
    <w:rsid w:val="00241E50"/>
    <w:rsid w:val="002F589D"/>
    <w:rsid w:val="003D6FF0"/>
    <w:rsid w:val="004656D0"/>
    <w:rsid w:val="007438C0"/>
    <w:rsid w:val="0077240E"/>
    <w:rsid w:val="007C6F47"/>
    <w:rsid w:val="007E7572"/>
    <w:rsid w:val="007F32AB"/>
    <w:rsid w:val="00827490"/>
    <w:rsid w:val="009B5B2F"/>
    <w:rsid w:val="009F2DB7"/>
    <w:rsid w:val="00A41404"/>
    <w:rsid w:val="00A47BCD"/>
    <w:rsid w:val="00CB7701"/>
    <w:rsid w:val="00DC658C"/>
    <w:rsid w:val="00DE744D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DC52C6"/>
  <w15:docId w15:val="{A6670173-116E-4CD8-B265-D811AC7D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9D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9D"/>
  </w:style>
  <w:style w:type="paragraph" w:styleId="Footer">
    <w:name w:val="footer"/>
    <w:basedOn w:val="Normal"/>
    <w:link w:val="FooterChar"/>
    <w:uiPriority w:val="99"/>
    <w:unhideWhenUsed/>
    <w:rsid w:val="002F5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9D"/>
  </w:style>
  <w:style w:type="paragraph" w:styleId="ListParagraph">
    <w:name w:val="List Paragraph"/>
    <w:basedOn w:val="Normal"/>
    <w:uiPriority w:val="34"/>
    <w:qFormat/>
    <w:rsid w:val="002F589D"/>
    <w:pPr>
      <w:ind w:left="720"/>
      <w:contextualSpacing/>
    </w:pPr>
  </w:style>
  <w:style w:type="character" w:styleId="Hyperlink">
    <w:name w:val="Hyperlink"/>
    <w:rsid w:val="002F589D"/>
    <w:rPr>
      <w:color w:val="0000FF"/>
      <w:u w:val="single"/>
    </w:rPr>
  </w:style>
  <w:style w:type="table" w:styleId="TableGrid">
    <w:name w:val="Table Grid"/>
    <w:basedOn w:val="TableNormal"/>
    <w:uiPriority w:val="39"/>
    <w:rsid w:val="009F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40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40E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0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psi.eu/good-practice-gu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psi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1.200\podaci\prijevodi\PREVODITELJSKI%20UREDI\LST%20Antwerpen%20(B)\2019\EH-155919-192527\Updated%20Files\Old%20translation\helpdesk@nepsidata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nepsi.eu/agree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Links>
    <vt:vector size="24" baseType="variant"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helpdesk@nepsidata.com</vt:lpwstr>
      </vt:variant>
      <vt:variant>
        <vt:lpwstr/>
      </vt:variant>
      <vt:variant>
        <vt:i4>6422652</vt:i4>
      </vt:variant>
      <vt:variant>
        <vt:i4>6</vt:i4>
      </vt:variant>
      <vt:variant>
        <vt:i4>0</vt:i4>
      </vt:variant>
      <vt:variant>
        <vt:i4>5</vt:i4>
      </vt:variant>
      <vt:variant>
        <vt:lpwstr>https://www.nepsi.eu/agreement</vt:lpwstr>
      </vt:variant>
      <vt:variant>
        <vt:lpwstr/>
      </vt:variant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https://www.nepsi.eu/good-practice-guide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http://www.nepsi.eu/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Susljic</dc:creator>
  <cp:lastModifiedBy>Antigoni Effraimidou</cp:lastModifiedBy>
  <cp:revision>5</cp:revision>
  <cp:lastPrinted>1899-12-31T23:00:00Z</cp:lastPrinted>
  <dcterms:created xsi:type="dcterms:W3CDTF">2020-01-10T13:31:00Z</dcterms:created>
  <dcterms:modified xsi:type="dcterms:W3CDTF">2020-01-21T16:47:00Z</dcterms:modified>
</cp:coreProperties>
</file>